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E4EC9" w14:textId="742AAF48" w:rsidR="00994F00" w:rsidRPr="000354A7" w:rsidRDefault="00F967E1" w:rsidP="00994F00">
      <w:pPr>
        <w:jc w:val="center"/>
        <w:rPr>
          <w:rFonts w:asciiTheme="majorHAnsi" w:hAnsiTheme="majorHAnsi" w:cs="Arial"/>
          <w:b/>
          <w:bCs/>
          <w:color w:val="156082" w:themeColor="accent1"/>
          <w:sz w:val="40"/>
          <w:szCs w:val="40"/>
        </w:rPr>
      </w:pPr>
      <w:r w:rsidRPr="000354A7">
        <w:rPr>
          <w:rFonts w:asciiTheme="majorHAnsi" w:hAnsiTheme="majorHAnsi" w:cs="Arial"/>
          <w:b/>
          <w:bCs/>
          <w:color w:val="156082" w:themeColor="accent1"/>
          <w:sz w:val="40"/>
          <w:szCs w:val="40"/>
        </w:rPr>
        <w:t>Fiche projet</w:t>
      </w:r>
    </w:p>
    <w:p w14:paraId="434391D3" w14:textId="7016F692" w:rsidR="00F967E1" w:rsidRPr="000354A7" w:rsidRDefault="00F967E1" w:rsidP="00994F00">
      <w:pPr>
        <w:jc w:val="center"/>
        <w:rPr>
          <w:rFonts w:asciiTheme="majorHAnsi" w:hAnsiTheme="majorHAnsi" w:cs="Arial"/>
          <w:b/>
          <w:bCs/>
          <w:color w:val="156082" w:themeColor="accent1"/>
          <w:sz w:val="40"/>
          <w:szCs w:val="40"/>
        </w:rPr>
      </w:pPr>
      <w:r w:rsidRPr="000354A7">
        <w:rPr>
          <w:rFonts w:asciiTheme="majorHAnsi" w:hAnsiTheme="majorHAnsi" w:cs="Arial"/>
          <w:b/>
          <w:bCs/>
          <w:color w:val="156082" w:themeColor="accent1"/>
          <w:sz w:val="40"/>
          <w:szCs w:val="40"/>
        </w:rPr>
        <w:t>Référentiel Territorial</w:t>
      </w:r>
    </w:p>
    <w:p w14:paraId="0D04E518" w14:textId="4F620E1F" w:rsidR="00866DFC" w:rsidRPr="00BB386A" w:rsidRDefault="00254FB8" w:rsidP="000D35AB">
      <w:pPr>
        <w:jc w:val="right"/>
        <w:rPr>
          <w:rFonts w:asciiTheme="majorHAnsi" w:hAnsiTheme="majorHAnsi" w:cs="Arial"/>
        </w:rPr>
      </w:pPr>
      <w:r>
        <w:rPr>
          <w:rFonts w:asciiTheme="majorHAnsi" w:hAnsiTheme="majorHAnsi" w:cs="Arial"/>
        </w:rPr>
        <w:t>01</w:t>
      </w:r>
      <w:r w:rsidR="00BB386A" w:rsidRPr="00BB386A">
        <w:rPr>
          <w:rFonts w:asciiTheme="majorHAnsi" w:hAnsiTheme="majorHAnsi" w:cs="Arial"/>
        </w:rPr>
        <w:t>/0</w:t>
      </w:r>
      <w:r>
        <w:rPr>
          <w:rFonts w:asciiTheme="majorHAnsi" w:hAnsiTheme="majorHAnsi" w:cs="Arial"/>
        </w:rPr>
        <w:t>6</w:t>
      </w:r>
      <w:r w:rsidR="00BB386A" w:rsidRPr="00BB386A">
        <w:rPr>
          <w:rFonts w:asciiTheme="majorHAnsi" w:hAnsiTheme="majorHAnsi" w:cs="Arial"/>
        </w:rPr>
        <w:t>/2026</w:t>
      </w:r>
    </w:p>
    <w:p w14:paraId="4E5E52AA" w14:textId="69A1B7C4" w:rsidR="00866DFC" w:rsidRPr="000354A7" w:rsidRDefault="000354A7" w:rsidP="000354A7">
      <w:pPr>
        <w:pStyle w:val="Titre1"/>
        <w:rPr>
          <w:b/>
          <w:bCs/>
          <w:color w:val="156082" w:themeColor="accent1"/>
          <w:sz w:val="32"/>
          <w:szCs w:val="32"/>
        </w:rPr>
      </w:pPr>
      <w:r w:rsidRPr="000354A7">
        <w:rPr>
          <w:b/>
          <w:bCs/>
          <w:color w:val="156082" w:themeColor="accent1"/>
          <w:sz w:val="32"/>
          <w:szCs w:val="32"/>
        </w:rPr>
        <w:t>Présentation du projet</w:t>
      </w:r>
    </w:p>
    <w:p w14:paraId="6CDD875E" w14:textId="4E9CDBB2" w:rsidR="000354A7" w:rsidRDefault="00D25039" w:rsidP="00D25039">
      <w:pPr>
        <w:jc w:val="both"/>
      </w:pPr>
      <w:r>
        <w:t xml:space="preserve">Le </w:t>
      </w:r>
      <w:r w:rsidRPr="00D25039">
        <w:rPr>
          <w:rStyle w:val="lev"/>
          <w:b w:val="0"/>
          <w:bCs w:val="0"/>
        </w:rPr>
        <w:t>Référentiel Territorial</w:t>
      </w:r>
      <w:r>
        <w:rPr>
          <w:rStyle w:val="lev"/>
        </w:rPr>
        <w:t xml:space="preserve"> </w:t>
      </w:r>
      <w:r>
        <w:t xml:space="preserve">vise à constituer une </w:t>
      </w:r>
      <w:r w:rsidRPr="00D25039">
        <w:rPr>
          <w:rStyle w:val="lev"/>
          <w:b w:val="0"/>
          <w:bCs w:val="0"/>
        </w:rPr>
        <w:t>ressource unique, harmonisée et fiabilisée</w:t>
      </w:r>
      <w:r>
        <w:t xml:space="preserve"> regroupant les principales données administratives et territoriales de la région Bourgogne-Franche-Comté.</w:t>
      </w:r>
    </w:p>
    <w:p w14:paraId="41A42E22" w14:textId="073A2B50" w:rsidR="00D25039" w:rsidRDefault="00D25039" w:rsidP="00D25039">
      <w:pPr>
        <w:jc w:val="both"/>
      </w:pPr>
      <w:r>
        <w:t xml:space="preserve">Il répond à un constat </w:t>
      </w:r>
      <w:r w:rsidR="00EE1A61">
        <w:t>partagé lors des groupes de travail :</w:t>
      </w:r>
    </w:p>
    <w:p w14:paraId="4FAA1E0E" w14:textId="5762D198" w:rsidR="00EE1A61" w:rsidRDefault="00EE1A61" w:rsidP="007B7D4C">
      <w:pPr>
        <w:pStyle w:val="Paragraphedeliste"/>
        <w:numPr>
          <w:ilvl w:val="0"/>
          <w:numId w:val="20"/>
        </w:numPr>
        <w:jc w:val="both"/>
      </w:pPr>
      <w:r>
        <w:t>Hétérogénéité des référentiels</w:t>
      </w:r>
    </w:p>
    <w:p w14:paraId="40200EC0" w14:textId="4BA4942A" w:rsidR="00EE1A61" w:rsidRDefault="00EE1A61" w:rsidP="007B7D4C">
      <w:pPr>
        <w:pStyle w:val="Paragraphedeliste"/>
        <w:numPr>
          <w:ilvl w:val="0"/>
          <w:numId w:val="20"/>
        </w:numPr>
        <w:jc w:val="both"/>
      </w:pPr>
      <w:r>
        <w:t>Décalages de mise à jour entre producteurs nationaux</w:t>
      </w:r>
    </w:p>
    <w:p w14:paraId="1D43B01F" w14:textId="2980C3F9" w:rsidR="00EE1A61" w:rsidRDefault="0057299B" w:rsidP="007B7D4C">
      <w:pPr>
        <w:pStyle w:val="Paragraphedeliste"/>
        <w:numPr>
          <w:ilvl w:val="0"/>
          <w:numId w:val="20"/>
        </w:numPr>
        <w:jc w:val="both"/>
      </w:pPr>
      <w:r>
        <w:t xml:space="preserve">Manque d’historisation consolidée (fusion communes et </w:t>
      </w:r>
      <w:r w:rsidR="00581A95">
        <w:t>évolutions d’EPCI)</w:t>
      </w:r>
    </w:p>
    <w:p w14:paraId="0F532CAB" w14:textId="19BF90B2" w:rsidR="00581A95" w:rsidRDefault="0084104C" w:rsidP="007B7D4C">
      <w:pPr>
        <w:pStyle w:val="Paragraphedeliste"/>
        <w:numPr>
          <w:ilvl w:val="0"/>
          <w:numId w:val="20"/>
        </w:numPr>
        <w:jc w:val="both"/>
      </w:pPr>
      <w:r>
        <w:t>Duplication des mises à jour entre acteurs</w:t>
      </w:r>
    </w:p>
    <w:p w14:paraId="64F66B25" w14:textId="6B7CBF48" w:rsidR="0084104C" w:rsidRDefault="00FF3E11" w:rsidP="0084104C">
      <w:pPr>
        <w:jc w:val="both"/>
      </w:pPr>
      <w:r>
        <w:t xml:space="preserve">L’objectif de cette </w:t>
      </w:r>
      <w:r w:rsidR="007B7D4C">
        <w:t>V1 est de :</w:t>
      </w:r>
    </w:p>
    <w:p w14:paraId="760F7DDD" w14:textId="26A0BCCC" w:rsidR="007B7D4C" w:rsidRDefault="00C03DD4" w:rsidP="007B7D4C">
      <w:pPr>
        <w:pStyle w:val="Paragraphedeliste"/>
        <w:numPr>
          <w:ilvl w:val="0"/>
          <w:numId w:val="22"/>
        </w:numPr>
        <w:jc w:val="both"/>
      </w:pPr>
      <w:r>
        <w:t>Centraliser les données</w:t>
      </w:r>
      <w:r w:rsidR="0020188B">
        <w:t xml:space="preserve"> des limites administratives</w:t>
      </w:r>
    </w:p>
    <w:p w14:paraId="26BEA1D7" w14:textId="25CF655B" w:rsidR="00C03DD4" w:rsidRDefault="0020188B" w:rsidP="007B7D4C">
      <w:pPr>
        <w:pStyle w:val="Paragraphedeliste"/>
        <w:numPr>
          <w:ilvl w:val="0"/>
          <w:numId w:val="22"/>
        </w:numPr>
        <w:jc w:val="both"/>
      </w:pPr>
      <w:r>
        <w:t xml:space="preserve">Garantir la fraîcheur </w:t>
      </w:r>
      <w:r w:rsidR="00CB633C">
        <w:t>et leur interopérabilité</w:t>
      </w:r>
    </w:p>
    <w:p w14:paraId="072E09CE" w14:textId="285D78D4" w:rsidR="00CB633C" w:rsidRDefault="00CB633C" w:rsidP="007B7D4C">
      <w:pPr>
        <w:pStyle w:val="Paragraphedeliste"/>
        <w:numPr>
          <w:ilvl w:val="0"/>
          <w:numId w:val="22"/>
        </w:numPr>
        <w:jc w:val="both"/>
      </w:pPr>
      <w:r>
        <w:t>Automatiser les mises à jour</w:t>
      </w:r>
    </w:p>
    <w:p w14:paraId="53D82C7B" w14:textId="13732DE5" w:rsidR="00CB633C" w:rsidRDefault="00CB633C" w:rsidP="007B7D4C">
      <w:pPr>
        <w:pStyle w:val="Paragraphedeliste"/>
        <w:numPr>
          <w:ilvl w:val="0"/>
          <w:numId w:val="22"/>
        </w:numPr>
        <w:jc w:val="both"/>
      </w:pPr>
      <w:r>
        <w:t>Faciliter l</w:t>
      </w:r>
      <w:r w:rsidR="00152D0E">
        <w:t>a réutilisation par les acteurs publics</w:t>
      </w:r>
    </w:p>
    <w:p w14:paraId="105308E2" w14:textId="77777777" w:rsidR="00425EC0" w:rsidRDefault="00425EC0" w:rsidP="00425EC0">
      <w:pPr>
        <w:jc w:val="both"/>
      </w:pPr>
    </w:p>
    <w:p w14:paraId="4531661D" w14:textId="7F988994" w:rsidR="00425EC0" w:rsidRPr="00425EC0" w:rsidRDefault="00425EC0" w:rsidP="007E38C8">
      <w:pPr>
        <w:pStyle w:val="Titre1"/>
        <w:spacing w:line="240" w:lineRule="auto"/>
        <w:rPr>
          <w:b/>
          <w:bCs/>
          <w:color w:val="156082" w:themeColor="accent1"/>
          <w:sz w:val="32"/>
          <w:szCs w:val="32"/>
        </w:rPr>
      </w:pPr>
      <w:r w:rsidRPr="00425EC0">
        <w:rPr>
          <w:b/>
          <w:bCs/>
          <w:color w:val="156082" w:themeColor="accent1"/>
          <w:sz w:val="32"/>
          <w:szCs w:val="32"/>
        </w:rPr>
        <w:t>Gouvernance et méthode</w:t>
      </w:r>
    </w:p>
    <w:p w14:paraId="1FDB78DE" w14:textId="37827734" w:rsidR="0036032E" w:rsidRPr="0036032E" w:rsidRDefault="0036032E" w:rsidP="007E38C8">
      <w:pPr>
        <w:jc w:val="both"/>
      </w:pPr>
      <w:r w:rsidRPr="0036032E">
        <w:t xml:space="preserve">Le projet est piloté par </w:t>
      </w:r>
      <w:r w:rsidRPr="0036032E">
        <w:rPr>
          <w:rStyle w:val="lev"/>
          <w:rFonts w:eastAsiaTheme="majorEastAsia"/>
          <w:b w:val="0"/>
          <w:bCs w:val="0"/>
        </w:rPr>
        <w:t>IDéO BFC</w:t>
      </w:r>
      <w:r w:rsidRPr="0036032E">
        <w:t xml:space="preserve"> en co-construction avec des </w:t>
      </w:r>
      <w:r w:rsidRPr="0036032E">
        <w:rPr>
          <w:rStyle w:val="lev"/>
          <w:rFonts w:eastAsiaTheme="majorEastAsia"/>
          <w:b w:val="0"/>
          <w:bCs w:val="0"/>
        </w:rPr>
        <w:t>acteurs régionaux</w:t>
      </w:r>
      <w:r w:rsidRPr="0036032E">
        <w:t xml:space="preserve"> (services de l’</w:t>
      </w:r>
      <w:r>
        <w:t>E</w:t>
      </w:r>
      <w:r w:rsidRPr="0036032E">
        <w:t xml:space="preserve">tat, collectivités, </w:t>
      </w:r>
      <w:r>
        <w:t>Région BFC, opérateurs</w:t>
      </w:r>
      <w:r w:rsidRPr="0036032E">
        <w:t>), dans une logique de mutualisation et de partage des responsabilités.</w:t>
      </w:r>
    </w:p>
    <w:p w14:paraId="41B8AE53" w14:textId="064427CA" w:rsidR="0036032E" w:rsidRPr="0036032E" w:rsidRDefault="0036032E" w:rsidP="007E38C8">
      <w:pPr>
        <w:jc w:val="both"/>
      </w:pPr>
      <w:r w:rsidRPr="0036032E">
        <w:t xml:space="preserve">La démarche repose sur l’utilisation de </w:t>
      </w:r>
      <w:r w:rsidRPr="0036032E">
        <w:rPr>
          <w:rStyle w:val="lev"/>
          <w:rFonts w:eastAsiaTheme="majorEastAsia"/>
          <w:b w:val="0"/>
          <w:bCs w:val="0"/>
        </w:rPr>
        <w:t>sources officielles nationales</w:t>
      </w:r>
      <w:r w:rsidRPr="0036032E">
        <w:t xml:space="preserve"> afin de garantir la fiabilité et la légitimité des données produites. Une attention particulière est portée au </w:t>
      </w:r>
      <w:r w:rsidRPr="0036032E">
        <w:rPr>
          <w:rStyle w:val="lev"/>
          <w:rFonts w:eastAsiaTheme="majorEastAsia"/>
          <w:b w:val="0"/>
          <w:bCs w:val="0"/>
        </w:rPr>
        <w:t>respect de la cohérence avec les référentiels nationaux existants</w:t>
      </w:r>
      <w:r w:rsidRPr="0036032E">
        <w:t>, en évitant la création de bases locales spécifiques qui viendraient complexifier l’écosystème.</w:t>
      </w:r>
    </w:p>
    <w:p w14:paraId="6504702E" w14:textId="2323DADD" w:rsidR="0036032E" w:rsidRDefault="0036032E" w:rsidP="007E38C8">
      <w:pPr>
        <w:jc w:val="both"/>
      </w:pPr>
      <w:r w:rsidRPr="0036032E">
        <w:t>Le projet s’inscrit également dans une logique d’</w:t>
      </w:r>
      <w:r w:rsidRPr="0036032E">
        <w:rPr>
          <w:rStyle w:val="lev"/>
          <w:rFonts w:eastAsiaTheme="majorEastAsia"/>
          <w:b w:val="0"/>
          <w:bCs w:val="0"/>
        </w:rPr>
        <w:t>automatisation des flux de données</w:t>
      </w:r>
      <w:r w:rsidRPr="0036032E">
        <w:t xml:space="preserve">, afin d’assurer une mise à jour régulière et homogène des différentes couches du référentiel. </w:t>
      </w:r>
    </w:p>
    <w:p w14:paraId="7715134B" w14:textId="77777777" w:rsidR="009A12FE" w:rsidRPr="0036032E" w:rsidRDefault="009A12FE" w:rsidP="0036032E">
      <w:pPr>
        <w:pStyle w:val="NormalWeb"/>
        <w:jc w:val="both"/>
        <w:rPr>
          <w:rFonts w:asciiTheme="minorHAnsi" w:hAnsiTheme="minorHAnsi"/>
        </w:rPr>
      </w:pPr>
    </w:p>
    <w:p w14:paraId="62A00703" w14:textId="4561040F" w:rsidR="006B4706" w:rsidRPr="009676FC" w:rsidRDefault="003D7F39" w:rsidP="009676FC">
      <w:pPr>
        <w:pStyle w:val="Titre1"/>
        <w:rPr>
          <w:b/>
          <w:bCs/>
          <w:color w:val="156082" w:themeColor="accent1"/>
          <w:sz w:val="32"/>
          <w:szCs w:val="32"/>
        </w:rPr>
      </w:pPr>
      <w:r w:rsidRPr="003D7F39">
        <w:rPr>
          <w:b/>
          <w:bCs/>
          <w:color w:val="156082" w:themeColor="accent1"/>
          <w:sz w:val="32"/>
          <w:szCs w:val="32"/>
        </w:rPr>
        <w:lastRenderedPageBreak/>
        <w:t>Sources de données mobilisées</w:t>
      </w:r>
    </w:p>
    <w:p w14:paraId="33AA8D40" w14:textId="35B6023B" w:rsidR="003D7F39" w:rsidRPr="006B4706" w:rsidRDefault="003D7F39" w:rsidP="006B4706">
      <w:pPr>
        <w:pStyle w:val="Paragraphedeliste"/>
        <w:numPr>
          <w:ilvl w:val="0"/>
          <w:numId w:val="24"/>
        </w:numPr>
        <w:rPr>
          <w:b/>
          <w:bCs/>
        </w:rPr>
      </w:pPr>
      <w:r w:rsidRPr="006B4706">
        <w:rPr>
          <w:b/>
          <w:bCs/>
        </w:rPr>
        <w:t>Limi</w:t>
      </w:r>
      <w:r w:rsidR="00DC65AA" w:rsidRPr="006B4706">
        <w:rPr>
          <w:b/>
          <w:bCs/>
        </w:rPr>
        <w:t>tes administratives :</w:t>
      </w:r>
    </w:p>
    <w:p w14:paraId="1947EF3E" w14:textId="43ECF65A" w:rsidR="00DC65AA" w:rsidRDefault="0061168D" w:rsidP="0061168D">
      <w:pPr>
        <w:jc w:val="both"/>
      </w:pPr>
      <w:r>
        <w:t xml:space="preserve">Les limites administratives sont issues de la base </w:t>
      </w:r>
      <w:r w:rsidRPr="0061168D">
        <w:rPr>
          <w:rStyle w:val="lev"/>
          <w:b w:val="0"/>
          <w:bCs w:val="0"/>
        </w:rPr>
        <w:t>ADMIN EXPRESS CARTO PLUS de l’</w:t>
      </w:r>
      <w:r w:rsidRPr="00DE6C20">
        <w:rPr>
          <w:rStyle w:val="lev"/>
        </w:rPr>
        <w:t>IGN</w:t>
      </w:r>
      <w:r>
        <w:t>, référentiel national de référence garantissant la cohérence géographique et l’interopérabilité des découpages administratifs.</w:t>
      </w:r>
    </w:p>
    <w:p w14:paraId="1A920E00" w14:textId="7FD1EA8D" w:rsidR="007424CE" w:rsidRPr="006B4706" w:rsidRDefault="007424CE" w:rsidP="006B4706">
      <w:pPr>
        <w:pStyle w:val="Paragraphedeliste"/>
        <w:numPr>
          <w:ilvl w:val="0"/>
          <w:numId w:val="24"/>
        </w:numPr>
        <w:jc w:val="both"/>
        <w:rPr>
          <w:b/>
          <w:bCs/>
        </w:rPr>
      </w:pPr>
      <w:r w:rsidRPr="006B4706">
        <w:rPr>
          <w:b/>
          <w:bCs/>
        </w:rPr>
        <w:t>Zonages et périmètres spécifiques :</w:t>
      </w:r>
    </w:p>
    <w:p w14:paraId="1B46174C" w14:textId="055BB9FF" w:rsidR="005D113B" w:rsidRDefault="005D113B" w:rsidP="0061168D">
      <w:pPr>
        <w:jc w:val="both"/>
      </w:pPr>
      <w:r>
        <w:t xml:space="preserve">Les zonages et périmètres spécifiques reposent en partie sur des informations intégrées directement à la table des communes, notamment les dispositifs </w:t>
      </w:r>
      <w:r w:rsidRPr="005D113B">
        <w:rPr>
          <w:rStyle w:val="lev"/>
          <w:b w:val="0"/>
          <w:bCs w:val="0"/>
          <w:i/>
          <w:iCs/>
        </w:rPr>
        <w:t>Action Cœur de Ville</w:t>
      </w:r>
      <w:r w:rsidRPr="005D113B">
        <w:t xml:space="preserve">, </w:t>
      </w:r>
      <w:r w:rsidRPr="005D113B">
        <w:rPr>
          <w:rStyle w:val="lev"/>
          <w:b w:val="0"/>
          <w:bCs w:val="0"/>
          <w:i/>
          <w:iCs/>
        </w:rPr>
        <w:t>Petites Villes de Demain</w:t>
      </w:r>
      <w:r>
        <w:t xml:space="preserve"> et les Z</w:t>
      </w:r>
      <w:r w:rsidRPr="005D113B">
        <w:rPr>
          <w:rStyle w:val="lev"/>
          <w:b w:val="0"/>
          <w:bCs w:val="0"/>
          <w:i/>
          <w:iCs/>
        </w:rPr>
        <w:t xml:space="preserve">ones de </w:t>
      </w:r>
      <w:r>
        <w:rPr>
          <w:rStyle w:val="lev"/>
          <w:b w:val="0"/>
          <w:bCs w:val="0"/>
          <w:i/>
          <w:iCs/>
        </w:rPr>
        <w:t>M</w:t>
      </w:r>
      <w:r w:rsidRPr="005D113B">
        <w:rPr>
          <w:rStyle w:val="lev"/>
          <w:b w:val="0"/>
          <w:bCs w:val="0"/>
          <w:i/>
          <w:iCs/>
        </w:rPr>
        <w:t>ontagne</w:t>
      </w:r>
      <w:r>
        <w:t xml:space="preserve">, issus de l’ANCT. La géométrie particulière des </w:t>
      </w:r>
      <w:r w:rsidRPr="005D113B">
        <w:rPr>
          <w:rStyle w:val="lev"/>
          <w:b w:val="0"/>
          <w:bCs w:val="0"/>
          <w:i/>
          <w:iCs/>
        </w:rPr>
        <w:t>Quartiers Prioritaires de la Politique de la Ville</w:t>
      </w:r>
      <w:r>
        <w:rPr>
          <w:rStyle w:val="lev"/>
        </w:rPr>
        <w:t xml:space="preserve"> </w:t>
      </w:r>
      <w:r w:rsidRPr="005D113B">
        <w:rPr>
          <w:rStyle w:val="lev"/>
          <w:b w:val="0"/>
          <w:bCs w:val="0"/>
        </w:rPr>
        <w:t>(QPV)</w:t>
      </w:r>
      <w:r>
        <w:t xml:space="preserve"> </w:t>
      </w:r>
      <w:r w:rsidR="00F04758">
        <w:t xml:space="preserve">et des IRIS </w:t>
      </w:r>
      <w:r>
        <w:t>nécessite la mise à disposition d</w:t>
      </w:r>
      <w:r w:rsidR="001D6295">
        <w:t>e</w:t>
      </w:r>
      <w:r>
        <w:t xml:space="preserve"> couche</w:t>
      </w:r>
      <w:r w:rsidR="001D6295">
        <w:t>s</w:t>
      </w:r>
      <w:r>
        <w:t xml:space="preserve"> dédiée</w:t>
      </w:r>
      <w:r w:rsidR="001D6295">
        <w:t>s</w:t>
      </w:r>
      <w:r>
        <w:t>, également fournie par l’ANCT.</w:t>
      </w:r>
    </w:p>
    <w:p w14:paraId="76884EEA" w14:textId="70C6F230" w:rsidR="007424CE" w:rsidRDefault="005D113B" w:rsidP="0061168D">
      <w:pPr>
        <w:jc w:val="both"/>
      </w:pPr>
      <w:r>
        <w:t xml:space="preserve">L’information relative au dispositif </w:t>
      </w:r>
      <w:r w:rsidRPr="005D113B">
        <w:rPr>
          <w:rStyle w:val="lev"/>
          <w:b w:val="0"/>
          <w:bCs w:val="0"/>
        </w:rPr>
        <w:t>C2R</w:t>
      </w:r>
      <w:r>
        <w:t xml:space="preserve"> est produite par la Région Bourgogne-Franche-Comté. La couche « Parcs » correspond à une agrégation des périmètres des </w:t>
      </w:r>
      <w:r w:rsidRPr="005D113B">
        <w:rPr>
          <w:rStyle w:val="lev"/>
          <w:b w:val="0"/>
          <w:bCs w:val="0"/>
        </w:rPr>
        <w:t>Parcs naturels régionaux</w:t>
      </w:r>
      <w:r>
        <w:t xml:space="preserve"> et du </w:t>
      </w:r>
      <w:r w:rsidRPr="005D113B">
        <w:rPr>
          <w:rStyle w:val="lev"/>
          <w:b w:val="0"/>
          <w:bCs w:val="0"/>
        </w:rPr>
        <w:t>Parc national des forêts</w:t>
      </w:r>
      <w:r>
        <w:t xml:space="preserve">. Enfin, la couche des </w:t>
      </w:r>
      <w:r w:rsidRPr="005D113B">
        <w:rPr>
          <w:rStyle w:val="lev"/>
          <w:b w:val="0"/>
          <w:bCs w:val="0"/>
        </w:rPr>
        <w:t>PETR / Pays</w:t>
      </w:r>
      <w:r>
        <w:t xml:space="preserve"> est fournie par la DREAL Bourgogne-Franche-Comté.</w:t>
      </w:r>
    </w:p>
    <w:p w14:paraId="59B336DA" w14:textId="7952AADC" w:rsidR="005D113B" w:rsidRPr="006B4706" w:rsidRDefault="00246BCC" w:rsidP="006B4706">
      <w:pPr>
        <w:pStyle w:val="Paragraphedeliste"/>
        <w:numPr>
          <w:ilvl w:val="0"/>
          <w:numId w:val="24"/>
        </w:numPr>
        <w:jc w:val="both"/>
        <w:rPr>
          <w:b/>
          <w:bCs/>
        </w:rPr>
      </w:pPr>
      <w:r w:rsidRPr="006B4706">
        <w:rPr>
          <w:b/>
          <w:bCs/>
        </w:rPr>
        <w:t>Élus et informations administratives</w:t>
      </w:r>
    </w:p>
    <w:p w14:paraId="56360E32" w14:textId="51745077" w:rsidR="00C32567" w:rsidRDefault="00C32567" w:rsidP="0061168D">
      <w:pPr>
        <w:jc w:val="both"/>
      </w:pPr>
      <w:r>
        <w:t xml:space="preserve">Les informations relatives aux élus et aux entités administratives s’appuient principalement sur le </w:t>
      </w:r>
      <w:r w:rsidRPr="00C32567">
        <w:rPr>
          <w:rStyle w:val="lev"/>
          <w:b w:val="0"/>
          <w:bCs w:val="0"/>
        </w:rPr>
        <w:t>Répertoire National des Élus (RNE)</w:t>
      </w:r>
      <w:r>
        <w:t xml:space="preserve"> produit par le ministère de l’Intérieur, garantissant une base de référence nationale sur les mandats et les fonctions électives. Ces données sont complétées par l’</w:t>
      </w:r>
      <w:r w:rsidRPr="00C32567">
        <w:rPr>
          <w:rStyle w:val="lev"/>
          <w:b w:val="0"/>
          <w:bCs w:val="0"/>
        </w:rPr>
        <w:t>Annuaire de l’administration</w:t>
      </w:r>
      <w:r w:rsidRPr="00C32567">
        <w:rPr>
          <w:b/>
          <w:bCs/>
        </w:rPr>
        <w:t xml:space="preserve"> </w:t>
      </w:r>
      <w:r>
        <w:t>(DILA), qui permet d’enrichir le référentiel avec des informations de contact et des données pratiques associées aux structures administratives.</w:t>
      </w:r>
    </w:p>
    <w:p w14:paraId="3E0280B8" w14:textId="77777777" w:rsidR="006B4706" w:rsidRDefault="006B4706" w:rsidP="0061168D">
      <w:pPr>
        <w:jc w:val="both"/>
      </w:pPr>
    </w:p>
    <w:p w14:paraId="00EA6C09" w14:textId="684E2AD1" w:rsidR="006B4706" w:rsidRPr="006E0DC1" w:rsidRDefault="000857D7" w:rsidP="007E38C8">
      <w:pPr>
        <w:pStyle w:val="Titre1"/>
        <w:spacing w:line="240" w:lineRule="auto"/>
        <w:rPr>
          <w:b/>
          <w:bCs/>
          <w:color w:val="156082" w:themeColor="accent1"/>
          <w:sz w:val="32"/>
          <w:szCs w:val="32"/>
        </w:rPr>
      </w:pPr>
      <w:r w:rsidRPr="006E0DC1">
        <w:rPr>
          <w:b/>
          <w:bCs/>
          <w:color w:val="156082" w:themeColor="accent1"/>
          <w:sz w:val="32"/>
          <w:szCs w:val="32"/>
        </w:rPr>
        <w:t>Contenu du modèle de données</w:t>
      </w:r>
    </w:p>
    <w:p w14:paraId="33CBF25E" w14:textId="3F4F49A1" w:rsidR="000972C7" w:rsidRDefault="000972C7" w:rsidP="0061168D">
      <w:pPr>
        <w:jc w:val="both"/>
      </w:pPr>
      <w:r>
        <w:t>Le Modèle Conceptuel de Données comprend 19 couches :</w:t>
      </w:r>
    </w:p>
    <w:p w14:paraId="29DDAA49" w14:textId="5951DC4F" w:rsidR="000972C7" w:rsidRDefault="006E0DC1" w:rsidP="006E0DC1">
      <w:pPr>
        <w:pStyle w:val="Paragraphedeliste"/>
        <w:numPr>
          <w:ilvl w:val="0"/>
          <w:numId w:val="26"/>
        </w:numPr>
        <w:jc w:val="both"/>
      </w:pPr>
      <w:r>
        <w:t>17 géographiques</w:t>
      </w:r>
    </w:p>
    <w:p w14:paraId="52E8206C" w14:textId="3455B629" w:rsidR="006E0DC1" w:rsidRDefault="006E0DC1" w:rsidP="006E0DC1">
      <w:pPr>
        <w:pStyle w:val="Paragraphedeliste"/>
        <w:numPr>
          <w:ilvl w:val="0"/>
          <w:numId w:val="26"/>
        </w:numPr>
        <w:jc w:val="both"/>
      </w:pPr>
      <w:r>
        <w:t>2 alphanumériques</w:t>
      </w:r>
    </w:p>
    <w:p w14:paraId="5DA4F708" w14:textId="3C16640B" w:rsidR="006E0DC1" w:rsidRDefault="006F29EC" w:rsidP="006E0DC1">
      <w:pPr>
        <w:jc w:val="both"/>
      </w:pPr>
      <w:r>
        <w:t xml:space="preserve">La commune constitue </w:t>
      </w:r>
      <w:r w:rsidR="00CF3335">
        <w:t>le maillage pivot du modèle.</w:t>
      </w:r>
    </w:p>
    <w:p w14:paraId="63F3FF98" w14:textId="77777777" w:rsidR="00E800A3" w:rsidRDefault="00E800A3" w:rsidP="006E0DC1">
      <w:pPr>
        <w:jc w:val="both"/>
      </w:pPr>
    </w:p>
    <w:p w14:paraId="7A452E7A" w14:textId="77777777" w:rsidR="00E800A3" w:rsidRDefault="00E800A3" w:rsidP="006E0DC1">
      <w:pPr>
        <w:jc w:val="both"/>
      </w:pPr>
    </w:p>
    <w:p w14:paraId="7F1650C4" w14:textId="77777777" w:rsidR="00E800A3" w:rsidRDefault="00E800A3" w:rsidP="006E0DC1">
      <w:pPr>
        <w:jc w:val="both"/>
      </w:pPr>
    </w:p>
    <w:p w14:paraId="22072ABE" w14:textId="355B9750" w:rsidR="00E800A3" w:rsidRPr="00E800A3" w:rsidRDefault="00E800A3" w:rsidP="00E800A3">
      <w:pPr>
        <w:pStyle w:val="Titre1"/>
        <w:spacing w:line="240" w:lineRule="auto"/>
        <w:rPr>
          <w:b/>
          <w:bCs/>
          <w:color w:val="156082" w:themeColor="accent1"/>
          <w:sz w:val="32"/>
          <w:szCs w:val="32"/>
        </w:rPr>
      </w:pPr>
      <w:r w:rsidRPr="00E800A3">
        <w:rPr>
          <w:b/>
          <w:bCs/>
          <w:color w:val="156082" w:themeColor="accent1"/>
          <w:sz w:val="32"/>
          <w:szCs w:val="32"/>
        </w:rPr>
        <w:lastRenderedPageBreak/>
        <w:t>Gestion de l’historique</w:t>
      </w:r>
    </w:p>
    <w:p w14:paraId="7F251718" w14:textId="77777777" w:rsidR="00385118" w:rsidRDefault="00385118" w:rsidP="006E0DC1">
      <w:pPr>
        <w:jc w:val="both"/>
      </w:pPr>
      <w:r>
        <w:t xml:space="preserve">Afin de garantir la traçabilité des évolutions territoriales, le référentiel intègre un mécanisme d’historisation des </w:t>
      </w:r>
      <w:r w:rsidRPr="00385118">
        <w:rPr>
          <w:rStyle w:val="lev"/>
          <w:b w:val="0"/>
          <w:bCs w:val="0"/>
        </w:rPr>
        <w:t>communes</w:t>
      </w:r>
      <w:r>
        <w:t xml:space="preserve"> et des </w:t>
      </w:r>
      <w:r>
        <w:rPr>
          <w:rStyle w:val="lev"/>
        </w:rPr>
        <w:t>EPCI</w:t>
      </w:r>
      <w:r>
        <w:t>.</w:t>
      </w:r>
    </w:p>
    <w:p w14:paraId="258F8DAB" w14:textId="77777777" w:rsidR="008208E0" w:rsidRDefault="00385118" w:rsidP="006E0DC1">
      <w:pPr>
        <w:jc w:val="both"/>
      </w:pPr>
      <w:r>
        <w:t>Deux tables dédiées, fournies et maintenues par la Région Bourgogne-Franche-Comté, permettent de conserver les informations relatives aux créations, suppressions, fusions et changements de périmètre. L</w:t>
      </w:r>
      <w:r>
        <w:t>’</w:t>
      </w:r>
      <w:r>
        <w:t>objet géographique « Commune » dispose également d’un attribut permettant d’identifier l’existence d’un historique associé.</w:t>
      </w:r>
    </w:p>
    <w:p w14:paraId="6C7C5F12" w14:textId="77777777" w:rsidR="008208E0" w:rsidRDefault="00385118" w:rsidP="008208E0">
      <w:pPr>
        <w:jc w:val="both"/>
      </w:pPr>
      <w:r>
        <w:t>Cette approche permet de réaliser des analyses diachroniques, de maintenir la cohérence des séries statistiques dans le temps et de retrouver les correspondances entre territoires actuels et anciens.</w:t>
      </w:r>
    </w:p>
    <w:p w14:paraId="21247909" w14:textId="77777777" w:rsidR="008208E0" w:rsidRDefault="008208E0" w:rsidP="008208E0">
      <w:pPr>
        <w:jc w:val="both"/>
      </w:pPr>
    </w:p>
    <w:p w14:paraId="62D2C943" w14:textId="7A581B83" w:rsidR="00D87A61" w:rsidRPr="008208E0" w:rsidRDefault="00D87A61" w:rsidP="008208E0">
      <w:pPr>
        <w:jc w:val="both"/>
      </w:pPr>
      <w:r w:rsidRPr="00FB7667">
        <w:rPr>
          <w:b/>
          <w:bCs/>
          <w:color w:val="156082" w:themeColor="accent1"/>
          <w:sz w:val="32"/>
          <w:szCs w:val="32"/>
        </w:rPr>
        <w:t>Finalités</w:t>
      </w:r>
      <w:r w:rsidR="006B73D5" w:rsidRPr="00FB7667">
        <w:rPr>
          <w:b/>
          <w:bCs/>
          <w:color w:val="156082" w:themeColor="accent1"/>
          <w:sz w:val="32"/>
          <w:szCs w:val="32"/>
        </w:rPr>
        <w:t>, usages et positionnement</w:t>
      </w:r>
    </w:p>
    <w:p w14:paraId="0A2163CF" w14:textId="4D4B488B" w:rsidR="00FB7667" w:rsidRDefault="00FB7667" w:rsidP="006E0DC1">
      <w:pPr>
        <w:jc w:val="both"/>
        <w:rPr>
          <w:rStyle w:val="lev"/>
          <w:b w:val="0"/>
          <w:bCs w:val="0"/>
        </w:rPr>
      </w:pPr>
      <w:r>
        <w:t xml:space="preserve">Le </w:t>
      </w:r>
      <w:r w:rsidRPr="00FB7667">
        <w:rPr>
          <w:rStyle w:val="lev"/>
          <w:b w:val="0"/>
          <w:bCs w:val="0"/>
        </w:rPr>
        <w:t xml:space="preserve">Référentiel Territorial </w:t>
      </w:r>
      <w:r w:rsidR="009D01EC">
        <w:rPr>
          <w:rStyle w:val="lev"/>
          <w:b w:val="0"/>
          <w:bCs w:val="0"/>
        </w:rPr>
        <w:t>permet notamment :</w:t>
      </w:r>
    </w:p>
    <w:p w14:paraId="13DC58A7" w14:textId="10C2AA11" w:rsidR="00A86340" w:rsidRDefault="00A86340" w:rsidP="006E0DC1">
      <w:pPr>
        <w:jc w:val="both"/>
        <w:rPr>
          <w:rStyle w:val="lev"/>
          <w:b w:val="0"/>
          <w:bCs w:val="0"/>
        </w:rPr>
      </w:pPr>
      <w:r>
        <w:rPr>
          <w:rStyle w:val="lev"/>
          <w:b w:val="0"/>
          <w:bCs w:val="0"/>
        </w:rPr>
        <w:t>Pour les collectivités</w:t>
      </w:r>
    </w:p>
    <w:p w14:paraId="742D1090" w14:textId="3AA3703E" w:rsidR="00A86340" w:rsidRDefault="00A86340" w:rsidP="00AF4BB6">
      <w:pPr>
        <w:pStyle w:val="Paragraphedeliste"/>
        <w:numPr>
          <w:ilvl w:val="0"/>
          <w:numId w:val="28"/>
        </w:numPr>
        <w:jc w:val="both"/>
      </w:pPr>
      <w:r>
        <w:t>Identifier des périmètres d’intervention</w:t>
      </w:r>
    </w:p>
    <w:p w14:paraId="4BC9E065" w14:textId="3AF022BE" w:rsidR="00177457" w:rsidRDefault="00177457" w:rsidP="00AF4BB6">
      <w:pPr>
        <w:pStyle w:val="Paragraphedeliste"/>
        <w:numPr>
          <w:ilvl w:val="0"/>
          <w:numId w:val="28"/>
        </w:numPr>
        <w:jc w:val="both"/>
      </w:pPr>
      <w:r>
        <w:t>Suivre les évolutions administratives</w:t>
      </w:r>
    </w:p>
    <w:p w14:paraId="08E1CD62" w14:textId="7F11FC42" w:rsidR="00177457" w:rsidRDefault="00177457" w:rsidP="00AF4BB6">
      <w:pPr>
        <w:pStyle w:val="Paragraphedeliste"/>
        <w:numPr>
          <w:ilvl w:val="0"/>
          <w:numId w:val="28"/>
        </w:numPr>
        <w:jc w:val="both"/>
      </w:pPr>
      <w:r>
        <w:t>Disposer d’un annuaire consolidé</w:t>
      </w:r>
    </w:p>
    <w:p w14:paraId="6736B42A" w14:textId="30AAF6EE" w:rsidR="00177457" w:rsidRDefault="00177457" w:rsidP="00177457">
      <w:pPr>
        <w:jc w:val="both"/>
      </w:pPr>
      <w:r>
        <w:t>Pour les services de l’Etat </w:t>
      </w:r>
    </w:p>
    <w:p w14:paraId="35A8A5C1" w14:textId="3CD5AD32" w:rsidR="00177457" w:rsidRDefault="00FB23FE" w:rsidP="00AF4BB6">
      <w:pPr>
        <w:pStyle w:val="Paragraphedeliste"/>
        <w:numPr>
          <w:ilvl w:val="0"/>
          <w:numId w:val="29"/>
        </w:numPr>
        <w:jc w:val="both"/>
      </w:pPr>
      <w:r>
        <w:t>Cohérence régionale</w:t>
      </w:r>
    </w:p>
    <w:p w14:paraId="0BF67C72" w14:textId="2D362EF9" w:rsidR="00FB23FE" w:rsidRDefault="00FB23FE" w:rsidP="00AF4BB6">
      <w:pPr>
        <w:pStyle w:val="Paragraphedeliste"/>
        <w:numPr>
          <w:ilvl w:val="0"/>
          <w:numId w:val="29"/>
        </w:numPr>
        <w:jc w:val="both"/>
      </w:pPr>
      <w:r>
        <w:t>Gain de temps</w:t>
      </w:r>
    </w:p>
    <w:p w14:paraId="3B8FC903" w14:textId="12EC9964" w:rsidR="00FB23FE" w:rsidRDefault="00FB23FE" w:rsidP="00AF4BB6">
      <w:pPr>
        <w:pStyle w:val="Paragraphedeliste"/>
        <w:numPr>
          <w:ilvl w:val="0"/>
          <w:numId w:val="29"/>
        </w:numPr>
        <w:jc w:val="both"/>
      </w:pPr>
      <w:r>
        <w:t>Support à la gestion de crise</w:t>
      </w:r>
    </w:p>
    <w:p w14:paraId="413515C4" w14:textId="7C399C5D" w:rsidR="00FB23FE" w:rsidRDefault="00FB23FE" w:rsidP="00FB23FE">
      <w:pPr>
        <w:jc w:val="both"/>
      </w:pPr>
      <w:r>
        <w:t xml:space="preserve">Pour les observatoires </w:t>
      </w:r>
    </w:p>
    <w:p w14:paraId="09B06799" w14:textId="7663D78A" w:rsidR="002E57D7" w:rsidRDefault="002E57D7" w:rsidP="00AF4BB6">
      <w:pPr>
        <w:pStyle w:val="Paragraphedeliste"/>
        <w:numPr>
          <w:ilvl w:val="0"/>
          <w:numId w:val="30"/>
        </w:numPr>
        <w:jc w:val="both"/>
      </w:pPr>
      <w:r>
        <w:t xml:space="preserve">Analyse </w:t>
      </w:r>
      <w:r w:rsidR="00931BA7">
        <w:t>diach</w:t>
      </w:r>
      <w:r w:rsidR="00022DA6">
        <w:t>ronique</w:t>
      </w:r>
    </w:p>
    <w:p w14:paraId="4D09A3C6" w14:textId="0F513CDF" w:rsidR="00022DA6" w:rsidRDefault="00022DA6" w:rsidP="00AF4BB6">
      <w:pPr>
        <w:pStyle w:val="Paragraphedeliste"/>
        <w:numPr>
          <w:ilvl w:val="0"/>
          <w:numId w:val="30"/>
        </w:numPr>
        <w:jc w:val="both"/>
      </w:pPr>
      <w:r>
        <w:t xml:space="preserve">Croisement avec </w:t>
      </w:r>
      <w:r w:rsidR="00013C1B">
        <w:t>données socio-économiques</w:t>
      </w:r>
    </w:p>
    <w:p w14:paraId="3CABE7D3" w14:textId="4671D51D" w:rsidR="00AF4BB6" w:rsidRDefault="00013C1B" w:rsidP="00AF4BB6">
      <w:pPr>
        <w:pStyle w:val="Paragraphedeliste"/>
        <w:numPr>
          <w:ilvl w:val="0"/>
          <w:numId w:val="30"/>
        </w:numPr>
        <w:jc w:val="both"/>
      </w:pPr>
      <w:r>
        <w:t>Appui à l’évaluation des politiques publiques</w:t>
      </w:r>
    </w:p>
    <w:p w14:paraId="26E5CB51" w14:textId="26C1FCD3" w:rsidR="008107D2" w:rsidRDefault="008107D2" w:rsidP="008107D2">
      <w:pPr>
        <w:jc w:val="both"/>
      </w:pPr>
      <w:r>
        <w:t>Le Référentiel Territorial BFC ne vise pas à se substituer aux référentiels nationaux existants, ni à créer une spécificité régionale déconnectée des standards. Il s’inscrit au contraire dans une logique de complémentarité et d’alignement avec les sources officielles, en proposant une synthèse cohérente, territorialisée et directement exploitable des données disponibles.</w:t>
      </w:r>
    </w:p>
    <w:p w14:paraId="34DA958D" w14:textId="67F448A8" w:rsidR="00FC4B64" w:rsidRDefault="008107D2" w:rsidP="008107D2">
      <w:pPr>
        <w:jc w:val="both"/>
      </w:pPr>
      <w:r>
        <w:t xml:space="preserve">Ce projet doit être compris comme une brique intermédiaire entre production nationale et usages locaux, facilitant l’accès à la donnée pour les acteurs du territoire. Il a vocation à s’enrichir progressivement dans les prochaines années avec de nouvelles thématiques </w:t>
      </w:r>
      <w:r>
        <w:lastRenderedPageBreak/>
        <w:t>et données essentielles, en fonction des besoins exprimés et des opportunités de mutualisation.</w:t>
      </w:r>
    </w:p>
    <w:p w14:paraId="0CE77C60" w14:textId="47C46775" w:rsidR="00FC4B64" w:rsidRPr="00FC4B64" w:rsidRDefault="00991659" w:rsidP="00FC4B64">
      <w:pPr>
        <w:pStyle w:val="Titre1"/>
        <w:rPr>
          <w:b/>
          <w:bCs/>
          <w:color w:val="156082" w:themeColor="accent1"/>
          <w:sz w:val="32"/>
          <w:szCs w:val="32"/>
        </w:rPr>
      </w:pPr>
      <w:r w:rsidRPr="00BA65A5">
        <w:rPr>
          <w:b/>
          <w:bCs/>
          <w:color w:val="156082" w:themeColor="accent1"/>
          <w:sz w:val="32"/>
          <w:szCs w:val="32"/>
        </w:rPr>
        <w:t>Métadonnées clés</w:t>
      </w:r>
    </w:p>
    <w:tbl>
      <w:tblPr>
        <w:tblStyle w:val="Grilledutableau"/>
        <w:tblW w:w="0" w:type="auto"/>
        <w:tblLook w:val="04A0" w:firstRow="1" w:lastRow="0" w:firstColumn="1" w:lastColumn="0" w:noHBand="0" w:noVBand="1"/>
      </w:tblPr>
      <w:tblGrid>
        <w:gridCol w:w="1696"/>
        <w:gridCol w:w="2834"/>
        <w:gridCol w:w="2411"/>
        <w:gridCol w:w="2121"/>
      </w:tblGrid>
      <w:tr w:rsidR="00024523" w14:paraId="49824465" w14:textId="77777777" w:rsidTr="00F16513">
        <w:tc>
          <w:tcPr>
            <w:tcW w:w="1696" w:type="dxa"/>
          </w:tcPr>
          <w:p w14:paraId="2386AD13" w14:textId="22120F7C" w:rsidR="00024523" w:rsidRPr="00D76B6A" w:rsidRDefault="00024523" w:rsidP="00AF4BB6">
            <w:pPr>
              <w:jc w:val="both"/>
              <w:rPr>
                <w:b/>
                <w:bCs/>
              </w:rPr>
            </w:pPr>
            <w:r w:rsidRPr="00D76B6A">
              <w:rPr>
                <w:b/>
                <w:bCs/>
              </w:rPr>
              <w:t>Producteur</w:t>
            </w:r>
          </w:p>
        </w:tc>
        <w:tc>
          <w:tcPr>
            <w:tcW w:w="2834" w:type="dxa"/>
          </w:tcPr>
          <w:p w14:paraId="00AA7AF6" w14:textId="09E83A2D" w:rsidR="00024523" w:rsidRPr="000D35AB" w:rsidRDefault="00024523" w:rsidP="00AF4BB6">
            <w:pPr>
              <w:jc w:val="both"/>
              <w:rPr>
                <w:i/>
                <w:iCs/>
                <w:sz w:val="22"/>
                <w:szCs w:val="22"/>
              </w:rPr>
            </w:pPr>
            <w:r w:rsidRPr="000D35AB">
              <w:rPr>
                <w:i/>
                <w:iCs/>
                <w:sz w:val="22"/>
                <w:szCs w:val="22"/>
              </w:rPr>
              <w:t xml:space="preserve">ARNia </w:t>
            </w:r>
            <w:r w:rsidR="00BC7D13" w:rsidRPr="000D35AB">
              <w:rPr>
                <w:i/>
                <w:iCs/>
                <w:sz w:val="22"/>
                <w:szCs w:val="22"/>
              </w:rPr>
              <w:t>/ IDéO BFC</w:t>
            </w:r>
          </w:p>
        </w:tc>
        <w:tc>
          <w:tcPr>
            <w:tcW w:w="2411" w:type="dxa"/>
          </w:tcPr>
          <w:p w14:paraId="273BE6AB" w14:textId="3DFD9F91" w:rsidR="00024523" w:rsidRPr="000D35AB" w:rsidRDefault="00FD0443" w:rsidP="00AF4BB6">
            <w:pPr>
              <w:jc w:val="both"/>
              <w:rPr>
                <w:b/>
                <w:bCs/>
              </w:rPr>
            </w:pPr>
            <w:r w:rsidRPr="000D35AB">
              <w:rPr>
                <w:b/>
                <w:bCs/>
              </w:rPr>
              <w:t>Mise à jour</w:t>
            </w:r>
          </w:p>
        </w:tc>
        <w:tc>
          <w:tcPr>
            <w:tcW w:w="2121" w:type="dxa"/>
          </w:tcPr>
          <w:p w14:paraId="400CE38C" w14:textId="0E4A895C" w:rsidR="00FD0443" w:rsidRPr="000D35AB" w:rsidRDefault="000E0AA1" w:rsidP="00AF4BB6">
            <w:pPr>
              <w:jc w:val="both"/>
              <w:rPr>
                <w:i/>
                <w:iCs/>
                <w:sz w:val="22"/>
                <w:szCs w:val="22"/>
              </w:rPr>
            </w:pPr>
            <w:r>
              <w:rPr>
                <w:i/>
                <w:iCs/>
                <w:sz w:val="22"/>
                <w:szCs w:val="22"/>
              </w:rPr>
              <w:t>Mensuelle</w:t>
            </w:r>
          </w:p>
        </w:tc>
      </w:tr>
      <w:tr w:rsidR="00024523" w14:paraId="6AFA96A8" w14:textId="77777777" w:rsidTr="00F16513">
        <w:tc>
          <w:tcPr>
            <w:tcW w:w="1696" w:type="dxa"/>
          </w:tcPr>
          <w:p w14:paraId="2586A046" w14:textId="7B354F35" w:rsidR="00BC7D13" w:rsidRPr="00D76B6A" w:rsidRDefault="00BC7D13" w:rsidP="00AF4BB6">
            <w:pPr>
              <w:jc w:val="both"/>
              <w:rPr>
                <w:b/>
                <w:bCs/>
              </w:rPr>
            </w:pPr>
            <w:r w:rsidRPr="00D76B6A">
              <w:rPr>
                <w:b/>
                <w:bCs/>
              </w:rPr>
              <w:t>Périmètre</w:t>
            </w:r>
          </w:p>
        </w:tc>
        <w:tc>
          <w:tcPr>
            <w:tcW w:w="2834" w:type="dxa"/>
          </w:tcPr>
          <w:p w14:paraId="38BF5F24" w14:textId="2D6F75C9" w:rsidR="00024523" w:rsidRPr="000D35AB" w:rsidRDefault="00BC7D13" w:rsidP="00AF4BB6">
            <w:pPr>
              <w:jc w:val="both"/>
              <w:rPr>
                <w:i/>
                <w:iCs/>
                <w:sz w:val="22"/>
                <w:szCs w:val="22"/>
              </w:rPr>
            </w:pPr>
            <w:r w:rsidRPr="000D35AB">
              <w:rPr>
                <w:i/>
                <w:iCs/>
                <w:sz w:val="22"/>
                <w:szCs w:val="22"/>
              </w:rPr>
              <w:t>B</w:t>
            </w:r>
            <w:r w:rsidR="000D35AB" w:rsidRPr="000D35AB">
              <w:rPr>
                <w:i/>
                <w:iCs/>
                <w:sz w:val="22"/>
                <w:szCs w:val="22"/>
              </w:rPr>
              <w:t>ourgogne-Franche-Comté</w:t>
            </w:r>
          </w:p>
        </w:tc>
        <w:tc>
          <w:tcPr>
            <w:tcW w:w="2411" w:type="dxa"/>
          </w:tcPr>
          <w:p w14:paraId="20B1CD62" w14:textId="557D8661" w:rsidR="00024523" w:rsidRPr="000D35AB" w:rsidRDefault="00F16513" w:rsidP="00AF4BB6">
            <w:pPr>
              <w:jc w:val="both"/>
              <w:rPr>
                <w:b/>
                <w:bCs/>
              </w:rPr>
            </w:pPr>
            <w:r w:rsidRPr="000D35AB">
              <w:rPr>
                <w:b/>
                <w:bCs/>
              </w:rPr>
              <w:t>Formats de diffusion</w:t>
            </w:r>
          </w:p>
        </w:tc>
        <w:tc>
          <w:tcPr>
            <w:tcW w:w="2121" w:type="dxa"/>
          </w:tcPr>
          <w:p w14:paraId="6020F241" w14:textId="28CB37DC" w:rsidR="00024523" w:rsidRPr="000D35AB" w:rsidRDefault="00DA17A2" w:rsidP="00AF4BB6">
            <w:pPr>
              <w:jc w:val="both"/>
              <w:rPr>
                <w:i/>
                <w:iCs/>
                <w:sz w:val="22"/>
                <w:szCs w:val="22"/>
              </w:rPr>
            </w:pPr>
            <w:r w:rsidRPr="000D35AB">
              <w:rPr>
                <w:i/>
                <w:iCs/>
                <w:sz w:val="22"/>
                <w:szCs w:val="22"/>
              </w:rPr>
              <w:t xml:space="preserve">SQL, GPKG, SHP, csv, </w:t>
            </w:r>
            <w:r w:rsidR="00831D74" w:rsidRPr="000D35AB">
              <w:rPr>
                <w:i/>
                <w:iCs/>
                <w:sz w:val="22"/>
                <w:szCs w:val="22"/>
              </w:rPr>
              <w:t>flux WMS/WFS, API</w:t>
            </w:r>
          </w:p>
        </w:tc>
      </w:tr>
      <w:tr w:rsidR="00024523" w14:paraId="5B87441F" w14:textId="77777777" w:rsidTr="00F16513">
        <w:tc>
          <w:tcPr>
            <w:tcW w:w="1696" w:type="dxa"/>
          </w:tcPr>
          <w:p w14:paraId="2A728C37" w14:textId="75A84EF6" w:rsidR="00024523" w:rsidRPr="00D76B6A" w:rsidRDefault="00BC7D13" w:rsidP="00AF4BB6">
            <w:pPr>
              <w:jc w:val="both"/>
              <w:rPr>
                <w:b/>
                <w:bCs/>
              </w:rPr>
            </w:pPr>
            <w:r w:rsidRPr="00D76B6A">
              <w:rPr>
                <w:b/>
                <w:bCs/>
              </w:rPr>
              <w:t>Granularité</w:t>
            </w:r>
          </w:p>
        </w:tc>
        <w:tc>
          <w:tcPr>
            <w:tcW w:w="2834" w:type="dxa"/>
          </w:tcPr>
          <w:p w14:paraId="0779E417" w14:textId="77C1605F" w:rsidR="00024523" w:rsidRPr="000D35AB" w:rsidRDefault="00BC7D13" w:rsidP="00AF4BB6">
            <w:pPr>
              <w:jc w:val="both"/>
              <w:rPr>
                <w:i/>
                <w:iCs/>
                <w:sz w:val="22"/>
                <w:szCs w:val="22"/>
              </w:rPr>
            </w:pPr>
            <w:r w:rsidRPr="000D35AB">
              <w:rPr>
                <w:i/>
                <w:iCs/>
                <w:sz w:val="22"/>
                <w:szCs w:val="22"/>
              </w:rPr>
              <w:t xml:space="preserve">Commune </w:t>
            </w:r>
          </w:p>
        </w:tc>
        <w:tc>
          <w:tcPr>
            <w:tcW w:w="2411" w:type="dxa"/>
          </w:tcPr>
          <w:p w14:paraId="6A2FEC1E" w14:textId="59C31395" w:rsidR="00024523" w:rsidRPr="000D35AB" w:rsidRDefault="00F16513" w:rsidP="00AF4BB6">
            <w:pPr>
              <w:jc w:val="both"/>
              <w:rPr>
                <w:b/>
                <w:bCs/>
              </w:rPr>
            </w:pPr>
            <w:r w:rsidRPr="000D35AB">
              <w:rPr>
                <w:b/>
                <w:bCs/>
              </w:rPr>
              <w:t>Licence</w:t>
            </w:r>
          </w:p>
        </w:tc>
        <w:tc>
          <w:tcPr>
            <w:tcW w:w="2121" w:type="dxa"/>
          </w:tcPr>
          <w:p w14:paraId="4B8229B8" w14:textId="4EA941DC" w:rsidR="00024523" w:rsidRPr="000D35AB" w:rsidRDefault="00831D74" w:rsidP="00AF4BB6">
            <w:pPr>
              <w:jc w:val="both"/>
              <w:rPr>
                <w:i/>
                <w:iCs/>
                <w:sz w:val="22"/>
                <w:szCs w:val="22"/>
              </w:rPr>
            </w:pPr>
            <w:r w:rsidRPr="000D35AB">
              <w:rPr>
                <w:i/>
                <w:iCs/>
                <w:sz w:val="22"/>
                <w:szCs w:val="22"/>
              </w:rPr>
              <w:t>Licence ouverte</w:t>
            </w:r>
          </w:p>
        </w:tc>
      </w:tr>
      <w:tr w:rsidR="00024523" w14:paraId="3D46A9D2" w14:textId="77777777" w:rsidTr="00F16513">
        <w:tc>
          <w:tcPr>
            <w:tcW w:w="1696" w:type="dxa"/>
          </w:tcPr>
          <w:p w14:paraId="6F4D2FA7" w14:textId="6FDDA7F2" w:rsidR="00024523" w:rsidRPr="00D76B6A" w:rsidRDefault="00D76B6A" w:rsidP="00AF4BB6">
            <w:pPr>
              <w:jc w:val="both"/>
              <w:rPr>
                <w:b/>
                <w:bCs/>
              </w:rPr>
            </w:pPr>
            <w:r w:rsidRPr="00D76B6A">
              <w:rPr>
                <w:b/>
                <w:bCs/>
              </w:rPr>
              <w:t>Sources</w:t>
            </w:r>
          </w:p>
        </w:tc>
        <w:tc>
          <w:tcPr>
            <w:tcW w:w="2834" w:type="dxa"/>
          </w:tcPr>
          <w:p w14:paraId="7F2A0410" w14:textId="511D9004" w:rsidR="00024523" w:rsidRPr="000D35AB" w:rsidRDefault="00D76B6A" w:rsidP="00AF4BB6">
            <w:pPr>
              <w:jc w:val="both"/>
              <w:rPr>
                <w:i/>
                <w:iCs/>
                <w:sz w:val="22"/>
                <w:szCs w:val="22"/>
              </w:rPr>
            </w:pPr>
            <w:r w:rsidRPr="000D35AB">
              <w:rPr>
                <w:i/>
                <w:iCs/>
                <w:sz w:val="22"/>
                <w:szCs w:val="22"/>
              </w:rPr>
              <w:t>IGN, ministère de l’Intérieur, DILA, ANCT, Région</w:t>
            </w:r>
            <w:r w:rsidR="0068705D">
              <w:rPr>
                <w:i/>
                <w:iCs/>
                <w:sz w:val="22"/>
                <w:szCs w:val="22"/>
              </w:rPr>
              <w:t xml:space="preserve"> BFC</w:t>
            </w:r>
          </w:p>
        </w:tc>
        <w:tc>
          <w:tcPr>
            <w:tcW w:w="2411" w:type="dxa"/>
          </w:tcPr>
          <w:p w14:paraId="09EAD752" w14:textId="6DB507F7" w:rsidR="00024523" w:rsidRPr="000D35AB" w:rsidRDefault="00DA17A2" w:rsidP="00AF4BB6">
            <w:pPr>
              <w:jc w:val="both"/>
              <w:rPr>
                <w:b/>
                <w:bCs/>
              </w:rPr>
            </w:pPr>
            <w:r w:rsidRPr="000D35AB">
              <w:rPr>
                <w:b/>
                <w:bCs/>
              </w:rPr>
              <w:t>Thématiques</w:t>
            </w:r>
          </w:p>
        </w:tc>
        <w:tc>
          <w:tcPr>
            <w:tcW w:w="2121" w:type="dxa"/>
          </w:tcPr>
          <w:p w14:paraId="115321DC" w14:textId="15DD90B9" w:rsidR="00024523" w:rsidRPr="000D35AB" w:rsidRDefault="00831D74" w:rsidP="00AF4BB6">
            <w:pPr>
              <w:jc w:val="both"/>
              <w:rPr>
                <w:i/>
                <w:iCs/>
                <w:sz w:val="22"/>
                <w:szCs w:val="22"/>
              </w:rPr>
            </w:pPr>
            <w:r w:rsidRPr="000D35AB">
              <w:rPr>
                <w:i/>
                <w:iCs/>
                <w:sz w:val="22"/>
                <w:szCs w:val="22"/>
              </w:rPr>
              <w:t xml:space="preserve">Administration, </w:t>
            </w:r>
            <w:r w:rsidR="000D35AB" w:rsidRPr="000D35AB">
              <w:rPr>
                <w:i/>
                <w:iCs/>
                <w:sz w:val="22"/>
                <w:szCs w:val="22"/>
              </w:rPr>
              <w:t>gouvernance</w:t>
            </w:r>
          </w:p>
        </w:tc>
      </w:tr>
      <w:tr w:rsidR="00B725C9" w14:paraId="348F3288" w14:textId="77777777" w:rsidTr="00F16513">
        <w:tc>
          <w:tcPr>
            <w:tcW w:w="1696" w:type="dxa"/>
          </w:tcPr>
          <w:p w14:paraId="0F311ABB" w14:textId="31DFC171" w:rsidR="00B725C9" w:rsidRPr="00D76B6A" w:rsidRDefault="00365795" w:rsidP="00AF4BB6">
            <w:pPr>
              <w:jc w:val="both"/>
              <w:rPr>
                <w:b/>
                <w:bCs/>
              </w:rPr>
            </w:pPr>
            <w:r>
              <w:rPr>
                <w:b/>
                <w:bCs/>
              </w:rPr>
              <w:t>Précision</w:t>
            </w:r>
          </w:p>
        </w:tc>
        <w:tc>
          <w:tcPr>
            <w:tcW w:w="2834" w:type="dxa"/>
          </w:tcPr>
          <w:p w14:paraId="69DB2D94" w14:textId="0E02CD4F" w:rsidR="00B725C9" w:rsidRPr="000D35AB" w:rsidRDefault="00365795" w:rsidP="00AF4BB6">
            <w:pPr>
              <w:jc w:val="both"/>
              <w:rPr>
                <w:i/>
                <w:iCs/>
                <w:sz w:val="22"/>
                <w:szCs w:val="22"/>
              </w:rPr>
            </w:pPr>
            <w:r>
              <w:rPr>
                <w:i/>
                <w:iCs/>
                <w:sz w:val="22"/>
                <w:szCs w:val="22"/>
              </w:rPr>
              <w:t>Entre 60 et 600 m</w:t>
            </w:r>
          </w:p>
        </w:tc>
        <w:tc>
          <w:tcPr>
            <w:tcW w:w="2411" w:type="dxa"/>
          </w:tcPr>
          <w:p w14:paraId="18708912" w14:textId="50A8322E" w:rsidR="00B725C9" w:rsidRPr="000D35AB" w:rsidRDefault="00D63087" w:rsidP="00AF4BB6">
            <w:pPr>
              <w:jc w:val="both"/>
              <w:rPr>
                <w:b/>
                <w:bCs/>
              </w:rPr>
            </w:pPr>
            <w:r>
              <w:rPr>
                <w:b/>
                <w:bCs/>
              </w:rPr>
              <w:t>Système géodésique</w:t>
            </w:r>
          </w:p>
        </w:tc>
        <w:tc>
          <w:tcPr>
            <w:tcW w:w="2121" w:type="dxa"/>
          </w:tcPr>
          <w:p w14:paraId="30472625" w14:textId="0540E086" w:rsidR="00B725C9" w:rsidRPr="000D35AB" w:rsidRDefault="003A5228" w:rsidP="00AF4BB6">
            <w:pPr>
              <w:jc w:val="both"/>
              <w:rPr>
                <w:i/>
                <w:iCs/>
                <w:sz w:val="22"/>
                <w:szCs w:val="22"/>
              </w:rPr>
            </w:pPr>
            <w:r>
              <w:rPr>
                <w:i/>
                <w:iCs/>
                <w:sz w:val="22"/>
                <w:szCs w:val="22"/>
              </w:rPr>
              <w:t>Lambert 93</w:t>
            </w:r>
            <w:r w:rsidR="00D63087">
              <w:rPr>
                <w:i/>
                <w:iCs/>
                <w:sz w:val="22"/>
                <w:szCs w:val="22"/>
              </w:rPr>
              <w:t xml:space="preserve"> (EPSG 2454)</w:t>
            </w:r>
          </w:p>
        </w:tc>
      </w:tr>
    </w:tbl>
    <w:p w14:paraId="4B3F4F0F" w14:textId="77777777" w:rsidR="00246BCC" w:rsidRPr="007424CE" w:rsidRDefault="00246BCC" w:rsidP="0061168D">
      <w:pPr>
        <w:jc w:val="both"/>
      </w:pPr>
    </w:p>
    <w:sectPr w:rsidR="00246BCC" w:rsidRPr="007424C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8B5EB" w14:textId="77777777" w:rsidR="00AF3370" w:rsidRDefault="00AF3370" w:rsidP="009A37E0">
      <w:pPr>
        <w:spacing w:after="0" w:line="240" w:lineRule="auto"/>
      </w:pPr>
      <w:r>
        <w:separator/>
      </w:r>
    </w:p>
  </w:endnote>
  <w:endnote w:type="continuationSeparator" w:id="0">
    <w:p w14:paraId="32C59E23" w14:textId="77777777" w:rsidR="00AF3370" w:rsidRDefault="00AF3370" w:rsidP="009A3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F1FAE" w14:textId="746A383B" w:rsidR="009A37E0" w:rsidRDefault="007A2D80">
    <w:pPr>
      <w:pStyle w:val="Pieddepage"/>
    </w:pPr>
    <w:r>
      <w:rPr>
        <w:noProof/>
      </w:rPr>
      <w:drawing>
        <wp:anchor distT="0" distB="0" distL="114300" distR="114300" simplePos="0" relativeHeight="251661312" behindDoc="0" locked="0" layoutInCell="1" allowOverlap="1" wp14:anchorId="1EC09226" wp14:editId="559A3284">
          <wp:simplePos x="0" y="0"/>
          <wp:positionH relativeFrom="column">
            <wp:posOffset>2789555</wp:posOffset>
          </wp:positionH>
          <wp:positionV relativeFrom="paragraph">
            <wp:posOffset>-191770</wp:posOffset>
          </wp:positionV>
          <wp:extent cx="770255" cy="650240"/>
          <wp:effectExtent l="0" t="0" r="0" b="0"/>
          <wp:wrapThrough wrapText="bothSides">
            <wp:wrapPolygon edited="0">
              <wp:start x="0" y="0"/>
              <wp:lineTo x="0" y="20883"/>
              <wp:lineTo x="20834" y="20883"/>
              <wp:lineTo x="20834" y="0"/>
              <wp:lineTo x="0" y="0"/>
            </wp:wrapPolygon>
          </wp:wrapThrough>
          <wp:docPr id="491113453" name="Image 3" descr="Une image contenant texte, Police, capture d’écran,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113453" name="Image 3" descr="Une image contenant texte, Police, capture d’écran, graphism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255" cy="6502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2CE6502E" wp14:editId="699E3C5B">
          <wp:simplePos x="0" y="0"/>
          <wp:positionH relativeFrom="column">
            <wp:posOffset>1866652</wp:posOffset>
          </wp:positionH>
          <wp:positionV relativeFrom="paragraph">
            <wp:posOffset>-109441</wp:posOffset>
          </wp:positionV>
          <wp:extent cx="691515" cy="524510"/>
          <wp:effectExtent l="0" t="0" r="0" b="8890"/>
          <wp:wrapThrough wrapText="bothSides">
            <wp:wrapPolygon edited="0">
              <wp:start x="8331" y="0"/>
              <wp:lineTo x="0" y="2354"/>
              <wp:lineTo x="0" y="21182"/>
              <wp:lineTo x="12496" y="21182"/>
              <wp:lineTo x="14876" y="21182"/>
              <wp:lineTo x="20231" y="14906"/>
              <wp:lineTo x="20826" y="10983"/>
              <wp:lineTo x="20826" y="0"/>
              <wp:lineTo x="12496" y="0"/>
              <wp:lineTo x="8331" y="0"/>
            </wp:wrapPolygon>
          </wp:wrapThrough>
          <wp:docPr id="21402598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 cy="52451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6563C" w14:textId="77777777" w:rsidR="00AF3370" w:rsidRDefault="00AF3370" w:rsidP="009A37E0">
      <w:pPr>
        <w:spacing w:after="0" w:line="240" w:lineRule="auto"/>
      </w:pPr>
      <w:r>
        <w:separator/>
      </w:r>
    </w:p>
  </w:footnote>
  <w:footnote w:type="continuationSeparator" w:id="0">
    <w:p w14:paraId="7B564D9C" w14:textId="77777777" w:rsidR="00AF3370" w:rsidRDefault="00AF3370" w:rsidP="009A3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9FBB9" w14:textId="6D34091C" w:rsidR="009A37E0" w:rsidRDefault="007A2D80" w:rsidP="009A37E0">
    <w:pPr>
      <w:pStyle w:val="En-tte"/>
      <w:jc w:val="right"/>
    </w:pPr>
    <w:r>
      <w:rPr>
        <w:noProof/>
      </w:rPr>
      <w:drawing>
        <wp:anchor distT="0" distB="0" distL="114300" distR="114300" simplePos="0" relativeHeight="251659264" behindDoc="0" locked="0" layoutInCell="1" allowOverlap="1" wp14:anchorId="35D75656" wp14:editId="242BFB13">
          <wp:simplePos x="0" y="0"/>
          <wp:positionH relativeFrom="column">
            <wp:posOffset>2860675</wp:posOffset>
          </wp:positionH>
          <wp:positionV relativeFrom="paragraph">
            <wp:posOffset>-254000</wp:posOffset>
          </wp:positionV>
          <wp:extent cx="612140" cy="534670"/>
          <wp:effectExtent l="0" t="0" r="0" b="0"/>
          <wp:wrapThrough wrapText="bothSides">
            <wp:wrapPolygon edited="0">
              <wp:start x="0" y="0"/>
              <wp:lineTo x="0" y="20779"/>
              <wp:lineTo x="20838" y="20779"/>
              <wp:lineTo x="20838" y="0"/>
              <wp:lineTo x="0" y="0"/>
            </wp:wrapPolygon>
          </wp:wrapThrough>
          <wp:docPr id="1107358020" name="Image 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358020" name="Image 2" descr="Une image contenant texte, Police,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 cy="5346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6EA892" wp14:editId="43323CE2">
          <wp:simplePos x="0" y="0"/>
          <wp:positionH relativeFrom="leftMargin">
            <wp:posOffset>2822272</wp:posOffset>
          </wp:positionH>
          <wp:positionV relativeFrom="paragraph">
            <wp:posOffset>-283210</wp:posOffset>
          </wp:positionV>
          <wp:extent cx="563880" cy="563880"/>
          <wp:effectExtent l="0" t="0" r="7620" b="7620"/>
          <wp:wrapThrough wrapText="bothSides">
            <wp:wrapPolygon edited="0">
              <wp:start x="0" y="0"/>
              <wp:lineTo x="0" y="21162"/>
              <wp:lineTo x="21162" y="21162"/>
              <wp:lineTo x="21162" y="0"/>
              <wp:lineTo x="0" y="0"/>
            </wp:wrapPolygon>
          </wp:wrapThrough>
          <wp:docPr id="35989299" name="Image 1" descr="Une image contenant logo, Graphique, Polic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89299" name="Image 1" descr="Une image contenant logo, Graphique, Police, text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2AB20F" w14:textId="77777777" w:rsidR="009A37E0" w:rsidRDefault="009A37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24BF6"/>
    <w:multiLevelType w:val="hybridMultilevel"/>
    <w:tmpl w:val="EDE655B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ED39F9"/>
    <w:multiLevelType w:val="hybridMultilevel"/>
    <w:tmpl w:val="9C920BF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145F403F"/>
    <w:multiLevelType w:val="multilevel"/>
    <w:tmpl w:val="FE34AE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D215C"/>
    <w:multiLevelType w:val="hybridMultilevel"/>
    <w:tmpl w:val="DDEC30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635C7F"/>
    <w:multiLevelType w:val="hybridMultilevel"/>
    <w:tmpl w:val="17C67392"/>
    <w:lvl w:ilvl="0" w:tplc="43B87882">
      <w:start w:val="1"/>
      <w:numFmt w:val="decimal"/>
      <w:lvlText w:val="%1."/>
      <w:lvlJc w:val="left"/>
      <w:pPr>
        <w:ind w:left="1440" w:hanging="360"/>
      </w:pPr>
      <w:rPr>
        <w:b/>
        <w:bCs/>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1EDE7500"/>
    <w:multiLevelType w:val="multilevel"/>
    <w:tmpl w:val="97C8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F019E0"/>
    <w:multiLevelType w:val="hybridMultilevel"/>
    <w:tmpl w:val="FAB4897E"/>
    <w:lvl w:ilvl="0" w:tplc="040C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9DD4DBF"/>
    <w:multiLevelType w:val="hybridMultilevel"/>
    <w:tmpl w:val="D0B6783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3DE0690"/>
    <w:multiLevelType w:val="hybridMultilevel"/>
    <w:tmpl w:val="951002F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71C6FA4"/>
    <w:multiLevelType w:val="multilevel"/>
    <w:tmpl w:val="7D3A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035BF6"/>
    <w:multiLevelType w:val="multilevel"/>
    <w:tmpl w:val="50820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30325C"/>
    <w:multiLevelType w:val="hybridMultilevel"/>
    <w:tmpl w:val="95627E3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4F94D66"/>
    <w:multiLevelType w:val="hybridMultilevel"/>
    <w:tmpl w:val="E5E891EA"/>
    <w:lvl w:ilvl="0" w:tplc="9DECF614">
      <w:start w:val="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60A3D33"/>
    <w:multiLevelType w:val="hybridMultilevel"/>
    <w:tmpl w:val="2EF83A5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92013FA"/>
    <w:multiLevelType w:val="multilevel"/>
    <w:tmpl w:val="6C5C88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2644B0"/>
    <w:multiLevelType w:val="hybridMultilevel"/>
    <w:tmpl w:val="5D0619D2"/>
    <w:lvl w:ilvl="0" w:tplc="ACF6C98A">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1B55879"/>
    <w:multiLevelType w:val="hybridMultilevel"/>
    <w:tmpl w:val="E7B812A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2C93960"/>
    <w:multiLevelType w:val="hybridMultilevel"/>
    <w:tmpl w:val="491C0E0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05363E"/>
    <w:multiLevelType w:val="hybridMultilevel"/>
    <w:tmpl w:val="A2A41CD8"/>
    <w:lvl w:ilvl="0" w:tplc="040C000D">
      <w:start w:val="1"/>
      <w:numFmt w:val="bullet"/>
      <w:lvlText w:val=""/>
      <w:lvlJc w:val="left"/>
      <w:pPr>
        <w:tabs>
          <w:tab w:val="num" w:pos="720"/>
        </w:tabs>
        <w:ind w:left="720" w:hanging="360"/>
      </w:pPr>
      <w:rPr>
        <w:rFonts w:ascii="Wingdings" w:hAnsi="Wingdings" w:hint="default"/>
      </w:rPr>
    </w:lvl>
    <w:lvl w:ilvl="1" w:tplc="CAB05512" w:tentative="1">
      <w:start w:val="1"/>
      <w:numFmt w:val="bullet"/>
      <w:lvlText w:val=""/>
      <w:lvlJc w:val="left"/>
      <w:pPr>
        <w:tabs>
          <w:tab w:val="num" w:pos="1440"/>
        </w:tabs>
        <w:ind w:left="1440" w:hanging="360"/>
      </w:pPr>
      <w:rPr>
        <w:rFonts w:ascii="Wingdings" w:hAnsi="Wingdings" w:hint="default"/>
      </w:rPr>
    </w:lvl>
    <w:lvl w:ilvl="2" w:tplc="F056D680" w:tentative="1">
      <w:start w:val="1"/>
      <w:numFmt w:val="bullet"/>
      <w:lvlText w:val=""/>
      <w:lvlJc w:val="left"/>
      <w:pPr>
        <w:tabs>
          <w:tab w:val="num" w:pos="2160"/>
        </w:tabs>
        <w:ind w:left="2160" w:hanging="360"/>
      </w:pPr>
      <w:rPr>
        <w:rFonts w:ascii="Wingdings" w:hAnsi="Wingdings" w:hint="default"/>
      </w:rPr>
    </w:lvl>
    <w:lvl w:ilvl="3" w:tplc="926CADCC" w:tentative="1">
      <w:start w:val="1"/>
      <w:numFmt w:val="bullet"/>
      <w:lvlText w:val=""/>
      <w:lvlJc w:val="left"/>
      <w:pPr>
        <w:tabs>
          <w:tab w:val="num" w:pos="2880"/>
        </w:tabs>
        <w:ind w:left="2880" w:hanging="360"/>
      </w:pPr>
      <w:rPr>
        <w:rFonts w:ascii="Wingdings" w:hAnsi="Wingdings" w:hint="default"/>
      </w:rPr>
    </w:lvl>
    <w:lvl w:ilvl="4" w:tplc="17208CE2" w:tentative="1">
      <w:start w:val="1"/>
      <w:numFmt w:val="bullet"/>
      <w:lvlText w:val=""/>
      <w:lvlJc w:val="left"/>
      <w:pPr>
        <w:tabs>
          <w:tab w:val="num" w:pos="3600"/>
        </w:tabs>
        <w:ind w:left="3600" w:hanging="360"/>
      </w:pPr>
      <w:rPr>
        <w:rFonts w:ascii="Wingdings" w:hAnsi="Wingdings" w:hint="default"/>
      </w:rPr>
    </w:lvl>
    <w:lvl w:ilvl="5" w:tplc="2674BB30" w:tentative="1">
      <w:start w:val="1"/>
      <w:numFmt w:val="bullet"/>
      <w:lvlText w:val=""/>
      <w:lvlJc w:val="left"/>
      <w:pPr>
        <w:tabs>
          <w:tab w:val="num" w:pos="4320"/>
        </w:tabs>
        <w:ind w:left="4320" w:hanging="360"/>
      </w:pPr>
      <w:rPr>
        <w:rFonts w:ascii="Wingdings" w:hAnsi="Wingdings" w:hint="default"/>
      </w:rPr>
    </w:lvl>
    <w:lvl w:ilvl="6" w:tplc="9142173C" w:tentative="1">
      <w:start w:val="1"/>
      <w:numFmt w:val="bullet"/>
      <w:lvlText w:val=""/>
      <w:lvlJc w:val="left"/>
      <w:pPr>
        <w:tabs>
          <w:tab w:val="num" w:pos="5040"/>
        </w:tabs>
        <w:ind w:left="5040" w:hanging="360"/>
      </w:pPr>
      <w:rPr>
        <w:rFonts w:ascii="Wingdings" w:hAnsi="Wingdings" w:hint="default"/>
      </w:rPr>
    </w:lvl>
    <w:lvl w:ilvl="7" w:tplc="AA0AEDE4" w:tentative="1">
      <w:start w:val="1"/>
      <w:numFmt w:val="bullet"/>
      <w:lvlText w:val=""/>
      <w:lvlJc w:val="left"/>
      <w:pPr>
        <w:tabs>
          <w:tab w:val="num" w:pos="5760"/>
        </w:tabs>
        <w:ind w:left="5760" w:hanging="360"/>
      </w:pPr>
      <w:rPr>
        <w:rFonts w:ascii="Wingdings" w:hAnsi="Wingdings" w:hint="default"/>
      </w:rPr>
    </w:lvl>
    <w:lvl w:ilvl="8" w:tplc="FE08308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8E34BF"/>
    <w:multiLevelType w:val="hybridMultilevel"/>
    <w:tmpl w:val="92E00AC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0032D3A"/>
    <w:multiLevelType w:val="hybridMultilevel"/>
    <w:tmpl w:val="C9C28D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0655A2D"/>
    <w:multiLevelType w:val="hybridMultilevel"/>
    <w:tmpl w:val="97E268D4"/>
    <w:lvl w:ilvl="0" w:tplc="AF141712">
      <w:numFmt w:val="bullet"/>
      <w:lvlText w:val="-"/>
      <w:lvlJc w:val="left"/>
      <w:pPr>
        <w:ind w:left="720" w:hanging="360"/>
      </w:pPr>
      <w:rPr>
        <w:rFonts w:ascii="Segoe UI Emoji" w:eastAsiaTheme="minorHAnsi" w:hAnsi="Segoe UI Emoji" w:cs="Segoe UI Emoj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5997DED"/>
    <w:multiLevelType w:val="hybridMultilevel"/>
    <w:tmpl w:val="8108B2C0"/>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6CCA504D"/>
    <w:multiLevelType w:val="hybridMultilevel"/>
    <w:tmpl w:val="6FA0A57A"/>
    <w:lvl w:ilvl="0" w:tplc="AF141712">
      <w:numFmt w:val="bullet"/>
      <w:lvlText w:val="-"/>
      <w:lvlJc w:val="left"/>
      <w:pPr>
        <w:ind w:left="720" w:hanging="360"/>
      </w:pPr>
      <w:rPr>
        <w:rFonts w:ascii="Segoe UI Emoji" w:eastAsiaTheme="minorHAnsi" w:hAnsi="Segoe UI Emoji" w:cs="Segoe UI Emoj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EB14A6E"/>
    <w:multiLevelType w:val="hybridMultilevel"/>
    <w:tmpl w:val="61542F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1493D5C"/>
    <w:multiLevelType w:val="hybridMultilevel"/>
    <w:tmpl w:val="6B02C2B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67114D1"/>
    <w:multiLevelType w:val="hybridMultilevel"/>
    <w:tmpl w:val="70B06F10"/>
    <w:lvl w:ilvl="0" w:tplc="E9C4BE7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98401F2"/>
    <w:multiLevelType w:val="multilevel"/>
    <w:tmpl w:val="FE34AE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4150A1"/>
    <w:multiLevelType w:val="multilevel"/>
    <w:tmpl w:val="E6784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55663E"/>
    <w:multiLevelType w:val="multilevel"/>
    <w:tmpl w:val="386C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6346348">
    <w:abstractNumId w:val="26"/>
  </w:num>
  <w:num w:numId="2" w16cid:durableId="1561592946">
    <w:abstractNumId w:val="14"/>
  </w:num>
  <w:num w:numId="3" w16cid:durableId="850143017">
    <w:abstractNumId w:val="10"/>
  </w:num>
  <w:num w:numId="4" w16cid:durableId="432166335">
    <w:abstractNumId w:val="27"/>
  </w:num>
  <w:num w:numId="5" w16cid:durableId="727457583">
    <w:abstractNumId w:val="2"/>
  </w:num>
  <w:num w:numId="6" w16cid:durableId="2086225757">
    <w:abstractNumId w:val="18"/>
  </w:num>
  <w:num w:numId="7" w16cid:durableId="960577934">
    <w:abstractNumId w:val="4"/>
  </w:num>
  <w:num w:numId="8" w16cid:durableId="2134520402">
    <w:abstractNumId w:val="8"/>
  </w:num>
  <w:num w:numId="9" w16cid:durableId="410977308">
    <w:abstractNumId w:val="13"/>
  </w:num>
  <w:num w:numId="10" w16cid:durableId="1301808000">
    <w:abstractNumId w:val="25"/>
  </w:num>
  <w:num w:numId="11" w16cid:durableId="1973553968">
    <w:abstractNumId w:val="16"/>
  </w:num>
  <w:num w:numId="12" w16cid:durableId="1296983215">
    <w:abstractNumId w:val="19"/>
  </w:num>
  <w:num w:numId="13" w16cid:durableId="80611221">
    <w:abstractNumId w:val="3"/>
  </w:num>
  <w:num w:numId="14" w16cid:durableId="1078553954">
    <w:abstractNumId w:val="9"/>
  </w:num>
  <w:num w:numId="15" w16cid:durableId="929193442">
    <w:abstractNumId w:val="5"/>
  </w:num>
  <w:num w:numId="16" w16cid:durableId="1014070863">
    <w:abstractNumId w:val="28"/>
  </w:num>
  <w:num w:numId="17" w16cid:durableId="825361788">
    <w:abstractNumId w:val="29"/>
  </w:num>
  <w:num w:numId="18" w16cid:durableId="376203116">
    <w:abstractNumId w:val="22"/>
  </w:num>
  <w:num w:numId="19" w16cid:durableId="701976359">
    <w:abstractNumId w:val="15"/>
  </w:num>
  <w:num w:numId="20" w16cid:durableId="1452212610">
    <w:abstractNumId w:val="0"/>
  </w:num>
  <w:num w:numId="21" w16cid:durableId="941033392">
    <w:abstractNumId w:val="1"/>
  </w:num>
  <w:num w:numId="22" w16cid:durableId="1467235417">
    <w:abstractNumId w:val="24"/>
  </w:num>
  <w:num w:numId="23" w16cid:durableId="137067213">
    <w:abstractNumId w:val="23"/>
  </w:num>
  <w:num w:numId="24" w16cid:durableId="305551868">
    <w:abstractNumId w:val="20"/>
  </w:num>
  <w:num w:numId="25" w16cid:durableId="306210795">
    <w:abstractNumId w:val="21"/>
  </w:num>
  <w:num w:numId="26" w16cid:durableId="1580821173">
    <w:abstractNumId w:val="6"/>
  </w:num>
  <w:num w:numId="27" w16cid:durableId="452943603">
    <w:abstractNumId w:val="12"/>
  </w:num>
  <w:num w:numId="28" w16cid:durableId="1755543829">
    <w:abstractNumId w:val="7"/>
  </w:num>
  <w:num w:numId="29" w16cid:durableId="640310149">
    <w:abstractNumId w:val="11"/>
  </w:num>
  <w:num w:numId="30" w16cid:durableId="11564113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C45"/>
    <w:rsid w:val="00013C1B"/>
    <w:rsid w:val="00022DA6"/>
    <w:rsid w:val="00024523"/>
    <w:rsid w:val="000354A7"/>
    <w:rsid w:val="00036B28"/>
    <w:rsid w:val="00042752"/>
    <w:rsid w:val="00072319"/>
    <w:rsid w:val="000760C5"/>
    <w:rsid w:val="000857D7"/>
    <w:rsid w:val="000972C7"/>
    <w:rsid w:val="000A69EE"/>
    <w:rsid w:val="000B7553"/>
    <w:rsid w:val="000D35AB"/>
    <w:rsid w:val="000E0AA1"/>
    <w:rsid w:val="00126AF1"/>
    <w:rsid w:val="00136745"/>
    <w:rsid w:val="0014434E"/>
    <w:rsid w:val="00152D0E"/>
    <w:rsid w:val="00165697"/>
    <w:rsid w:val="00177457"/>
    <w:rsid w:val="001A5AC5"/>
    <w:rsid w:val="001D6295"/>
    <w:rsid w:val="0020188B"/>
    <w:rsid w:val="00205BDE"/>
    <w:rsid w:val="00243DA2"/>
    <w:rsid w:val="00246BCC"/>
    <w:rsid w:val="00254FB8"/>
    <w:rsid w:val="0027613B"/>
    <w:rsid w:val="002C02B8"/>
    <w:rsid w:val="002C3FB4"/>
    <w:rsid w:val="002E22D0"/>
    <w:rsid w:val="002E57D7"/>
    <w:rsid w:val="002E7496"/>
    <w:rsid w:val="00355016"/>
    <w:rsid w:val="0036032E"/>
    <w:rsid w:val="003639CD"/>
    <w:rsid w:val="00365795"/>
    <w:rsid w:val="00385118"/>
    <w:rsid w:val="0039465A"/>
    <w:rsid w:val="003A230B"/>
    <w:rsid w:val="003A5228"/>
    <w:rsid w:val="003D7F39"/>
    <w:rsid w:val="00425EC0"/>
    <w:rsid w:val="00474B1C"/>
    <w:rsid w:val="004F3D38"/>
    <w:rsid w:val="004F5E44"/>
    <w:rsid w:val="00516ECC"/>
    <w:rsid w:val="00525997"/>
    <w:rsid w:val="00571E3C"/>
    <w:rsid w:val="0057299B"/>
    <w:rsid w:val="00581A95"/>
    <w:rsid w:val="00585ECD"/>
    <w:rsid w:val="005D113B"/>
    <w:rsid w:val="005E17FA"/>
    <w:rsid w:val="0061168D"/>
    <w:rsid w:val="00612C8A"/>
    <w:rsid w:val="006864D1"/>
    <w:rsid w:val="0068705D"/>
    <w:rsid w:val="006917EE"/>
    <w:rsid w:val="006A2B98"/>
    <w:rsid w:val="006B0BBB"/>
    <w:rsid w:val="006B4706"/>
    <w:rsid w:val="006B73D5"/>
    <w:rsid w:val="006E0DC1"/>
    <w:rsid w:val="006F29EC"/>
    <w:rsid w:val="00711280"/>
    <w:rsid w:val="00712E26"/>
    <w:rsid w:val="00713100"/>
    <w:rsid w:val="00720EE1"/>
    <w:rsid w:val="00727EFD"/>
    <w:rsid w:val="007424CE"/>
    <w:rsid w:val="00746997"/>
    <w:rsid w:val="00751353"/>
    <w:rsid w:val="00772515"/>
    <w:rsid w:val="007A2D80"/>
    <w:rsid w:val="007B7D4C"/>
    <w:rsid w:val="007D0AF2"/>
    <w:rsid w:val="007D4200"/>
    <w:rsid w:val="007E38C8"/>
    <w:rsid w:val="007E648E"/>
    <w:rsid w:val="007E6D0F"/>
    <w:rsid w:val="008107D2"/>
    <w:rsid w:val="008208E0"/>
    <w:rsid w:val="00831D74"/>
    <w:rsid w:val="0084104C"/>
    <w:rsid w:val="00866DFC"/>
    <w:rsid w:val="00886FC7"/>
    <w:rsid w:val="008A1F64"/>
    <w:rsid w:val="008A2631"/>
    <w:rsid w:val="008C1188"/>
    <w:rsid w:val="008F5C64"/>
    <w:rsid w:val="0090308C"/>
    <w:rsid w:val="00904DDE"/>
    <w:rsid w:val="0092785C"/>
    <w:rsid w:val="00931BA7"/>
    <w:rsid w:val="009612CF"/>
    <w:rsid w:val="009676FC"/>
    <w:rsid w:val="00991659"/>
    <w:rsid w:val="00994F00"/>
    <w:rsid w:val="009A12FE"/>
    <w:rsid w:val="009A37E0"/>
    <w:rsid w:val="009D01EC"/>
    <w:rsid w:val="009D653F"/>
    <w:rsid w:val="009E1F43"/>
    <w:rsid w:val="00A0092F"/>
    <w:rsid w:val="00A61087"/>
    <w:rsid w:val="00A86340"/>
    <w:rsid w:val="00AD1F16"/>
    <w:rsid w:val="00AF3370"/>
    <w:rsid w:val="00AF4BB6"/>
    <w:rsid w:val="00B07407"/>
    <w:rsid w:val="00B30C45"/>
    <w:rsid w:val="00B43410"/>
    <w:rsid w:val="00B45219"/>
    <w:rsid w:val="00B71474"/>
    <w:rsid w:val="00B725C9"/>
    <w:rsid w:val="00BA65A5"/>
    <w:rsid w:val="00BB386A"/>
    <w:rsid w:val="00BC4F1D"/>
    <w:rsid w:val="00BC7D13"/>
    <w:rsid w:val="00BD0A89"/>
    <w:rsid w:val="00C03DD4"/>
    <w:rsid w:val="00C32567"/>
    <w:rsid w:val="00C63945"/>
    <w:rsid w:val="00C776D2"/>
    <w:rsid w:val="00C8497D"/>
    <w:rsid w:val="00CB633C"/>
    <w:rsid w:val="00CD5704"/>
    <w:rsid w:val="00CE124C"/>
    <w:rsid w:val="00CF3335"/>
    <w:rsid w:val="00D11FCA"/>
    <w:rsid w:val="00D16D7E"/>
    <w:rsid w:val="00D25039"/>
    <w:rsid w:val="00D553FC"/>
    <w:rsid w:val="00D61F9A"/>
    <w:rsid w:val="00D63087"/>
    <w:rsid w:val="00D76B6A"/>
    <w:rsid w:val="00D83C7C"/>
    <w:rsid w:val="00D87A61"/>
    <w:rsid w:val="00DA17A2"/>
    <w:rsid w:val="00DC12DC"/>
    <w:rsid w:val="00DC65AA"/>
    <w:rsid w:val="00DE6C20"/>
    <w:rsid w:val="00E16BDA"/>
    <w:rsid w:val="00E3221D"/>
    <w:rsid w:val="00E521F1"/>
    <w:rsid w:val="00E800A3"/>
    <w:rsid w:val="00E941B8"/>
    <w:rsid w:val="00EE1A61"/>
    <w:rsid w:val="00F04758"/>
    <w:rsid w:val="00F16513"/>
    <w:rsid w:val="00F24644"/>
    <w:rsid w:val="00F73C7B"/>
    <w:rsid w:val="00F9508D"/>
    <w:rsid w:val="00F967E1"/>
    <w:rsid w:val="00FA7E68"/>
    <w:rsid w:val="00FB23FE"/>
    <w:rsid w:val="00FB7667"/>
    <w:rsid w:val="00FC4B64"/>
    <w:rsid w:val="00FD0443"/>
    <w:rsid w:val="00FD06DA"/>
    <w:rsid w:val="00FE2FC8"/>
    <w:rsid w:val="00FF3E11"/>
    <w:rsid w:val="019E5EDE"/>
    <w:rsid w:val="0553DB7D"/>
    <w:rsid w:val="05942D05"/>
    <w:rsid w:val="094A57B8"/>
    <w:rsid w:val="0AC4A95A"/>
    <w:rsid w:val="0CFA8B93"/>
    <w:rsid w:val="0D88466C"/>
    <w:rsid w:val="0ED7A6CD"/>
    <w:rsid w:val="0F3A32B8"/>
    <w:rsid w:val="0F9852E5"/>
    <w:rsid w:val="11540047"/>
    <w:rsid w:val="14F64F4D"/>
    <w:rsid w:val="1A82D92B"/>
    <w:rsid w:val="20990DB3"/>
    <w:rsid w:val="20F62D2A"/>
    <w:rsid w:val="2180AA4B"/>
    <w:rsid w:val="252D3205"/>
    <w:rsid w:val="25DA69B3"/>
    <w:rsid w:val="31948F5A"/>
    <w:rsid w:val="32244A50"/>
    <w:rsid w:val="39160617"/>
    <w:rsid w:val="39ACB439"/>
    <w:rsid w:val="3D1CB652"/>
    <w:rsid w:val="3E2B9DA5"/>
    <w:rsid w:val="40DC6D81"/>
    <w:rsid w:val="40F1849D"/>
    <w:rsid w:val="4220333E"/>
    <w:rsid w:val="44488C15"/>
    <w:rsid w:val="4682C133"/>
    <w:rsid w:val="478C1F7D"/>
    <w:rsid w:val="4A505220"/>
    <w:rsid w:val="4BF8EE2A"/>
    <w:rsid w:val="4EBF7AEE"/>
    <w:rsid w:val="51C67BEA"/>
    <w:rsid w:val="53555C05"/>
    <w:rsid w:val="5370BD1B"/>
    <w:rsid w:val="58649787"/>
    <w:rsid w:val="5A4C01D5"/>
    <w:rsid w:val="5AB1240E"/>
    <w:rsid w:val="5AE940CC"/>
    <w:rsid w:val="5CDFE48C"/>
    <w:rsid w:val="6541C66C"/>
    <w:rsid w:val="68745142"/>
    <w:rsid w:val="6FDAD6DC"/>
    <w:rsid w:val="72C1DEFA"/>
    <w:rsid w:val="7349A4B8"/>
    <w:rsid w:val="7464E97D"/>
    <w:rsid w:val="76455FAA"/>
    <w:rsid w:val="77C14542"/>
    <w:rsid w:val="7D84964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6367D"/>
  <w15:chartTrackingRefBased/>
  <w15:docId w15:val="{A3080ACD-0731-4894-81B0-54F531552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30C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30C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30C4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30C4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30C4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30C4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30C4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30C4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30C4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0C4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30C4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30C4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30C4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30C4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30C4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30C4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30C4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30C45"/>
    <w:rPr>
      <w:rFonts w:eastAsiaTheme="majorEastAsia" w:cstheme="majorBidi"/>
      <w:color w:val="272727" w:themeColor="text1" w:themeTint="D8"/>
    </w:rPr>
  </w:style>
  <w:style w:type="paragraph" w:styleId="Titre">
    <w:name w:val="Title"/>
    <w:basedOn w:val="Normal"/>
    <w:next w:val="Normal"/>
    <w:link w:val="TitreCar"/>
    <w:uiPriority w:val="10"/>
    <w:qFormat/>
    <w:rsid w:val="00B30C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30C4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30C4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30C4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30C45"/>
    <w:pPr>
      <w:spacing w:before="160"/>
      <w:jc w:val="center"/>
    </w:pPr>
    <w:rPr>
      <w:i/>
      <w:iCs/>
      <w:color w:val="404040" w:themeColor="text1" w:themeTint="BF"/>
    </w:rPr>
  </w:style>
  <w:style w:type="character" w:customStyle="1" w:styleId="CitationCar">
    <w:name w:val="Citation Car"/>
    <w:basedOn w:val="Policepardfaut"/>
    <w:link w:val="Citation"/>
    <w:uiPriority w:val="29"/>
    <w:rsid w:val="00B30C45"/>
    <w:rPr>
      <w:i/>
      <w:iCs/>
      <w:color w:val="404040" w:themeColor="text1" w:themeTint="BF"/>
    </w:rPr>
  </w:style>
  <w:style w:type="paragraph" w:styleId="Paragraphedeliste">
    <w:name w:val="List Paragraph"/>
    <w:basedOn w:val="Normal"/>
    <w:uiPriority w:val="34"/>
    <w:qFormat/>
    <w:rsid w:val="00B30C45"/>
    <w:pPr>
      <w:ind w:left="720"/>
      <w:contextualSpacing/>
    </w:pPr>
  </w:style>
  <w:style w:type="character" w:styleId="Accentuationintense">
    <w:name w:val="Intense Emphasis"/>
    <w:basedOn w:val="Policepardfaut"/>
    <w:uiPriority w:val="21"/>
    <w:qFormat/>
    <w:rsid w:val="00B30C45"/>
    <w:rPr>
      <w:i/>
      <w:iCs/>
      <w:color w:val="0F4761" w:themeColor="accent1" w:themeShade="BF"/>
    </w:rPr>
  </w:style>
  <w:style w:type="paragraph" w:styleId="Citationintense">
    <w:name w:val="Intense Quote"/>
    <w:basedOn w:val="Normal"/>
    <w:next w:val="Normal"/>
    <w:link w:val="CitationintenseCar"/>
    <w:uiPriority w:val="30"/>
    <w:qFormat/>
    <w:rsid w:val="00B30C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30C45"/>
    <w:rPr>
      <w:i/>
      <w:iCs/>
      <w:color w:val="0F4761" w:themeColor="accent1" w:themeShade="BF"/>
    </w:rPr>
  </w:style>
  <w:style w:type="character" w:styleId="Rfrenceintense">
    <w:name w:val="Intense Reference"/>
    <w:basedOn w:val="Policepardfaut"/>
    <w:uiPriority w:val="32"/>
    <w:qFormat/>
    <w:rsid w:val="00B30C45"/>
    <w:rPr>
      <w:b/>
      <w:bCs/>
      <w:smallCaps/>
      <w:color w:val="0F4761" w:themeColor="accent1" w:themeShade="BF"/>
      <w:spacing w:val="5"/>
    </w:rPr>
  </w:style>
  <w:style w:type="paragraph" w:styleId="Rvision">
    <w:name w:val="Revision"/>
    <w:hidden/>
    <w:uiPriority w:val="99"/>
    <w:semiHidden/>
    <w:rsid w:val="007E6D0F"/>
    <w:pPr>
      <w:spacing w:after="0" w:line="240" w:lineRule="auto"/>
    </w:pPr>
  </w:style>
  <w:style w:type="paragraph" w:styleId="En-tte">
    <w:name w:val="header"/>
    <w:basedOn w:val="Normal"/>
    <w:link w:val="En-tteCar"/>
    <w:uiPriority w:val="99"/>
    <w:unhideWhenUsed/>
    <w:rsid w:val="009A37E0"/>
    <w:pPr>
      <w:tabs>
        <w:tab w:val="center" w:pos="4536"/>
        <w:tab w:val="right" w:pos="9072"/>
      </w:tabs>
      <w:spacing w:after="0" w:line="240" w:lineRule="auto"/>
    </w:pPr>
  </w:style>
  <w:style w:type="character" w:customStyle="1" w:styleId="En-tteCar">
    <w:name w:val="En-tête Car"/>
    <w:basedOn w:val="Policepardfaut"/>
    <w:link w:val="En-tte"/>
    <w:uiPriority w:val="99"/>
    <w:rsid w:val="009A37E0"/>
  </w:style>
  <w:style w:type="paragraph" w:styleId="Pieddepage">
    <w:name w:val="footer"/>
    <w:basedOn w:val="Normal"/>
    <w:link w:val="PieddepageCar"/>
    <w:uiPriority w:val="99"/>
    <w:unhideWhenUsed/>
    <w:rsid w:val="009A37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37E0"/>
  </w:style>
  <w:style w:type="character" w:styleId="lev">
    <w:name w:val="Strong"/>
    <w:basedOn w:val="Policepardfaut"/>
    <w:uiPriority w:val="22"/>
    <w:qFormat/>
    <w:rsid w:val="00D25039"/>
    <w:rPr>
      <w:b/>
      <w:bCs/>
    </w:rPr>
  </w:style>
  <w:style w:type="paragraph" w:styleId="NormalWeb">
    <w:name w:val="Normal (Web)"/>
    <w:basedOn w:val="Normal"/>
    <w:uiPriority w:val="99"/>
    <w:semiHidden/>
    <w:unhideWhenUsed/>
    <w:rsid w:val="0036032E"/>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table" w:styleId="Grilledutableau">
    <w:name w:val="Table Grid"/>
    <w:basedOn w:val="TableauNormal"/>
    <w:uiPriority w:val="39"/>
    <w:rsid w:val="00024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782040">
      <w:bodyDiv w:val="1"/>
      <w:marLeft w:val="0"/>
      <w:marRight w:val="0"/>
      <w:marTop w:val="0"/>
      <w:marBottom w:val="0"/>
      <w:divBdr>
        <w:top w:val="none" w:sz="0" w:space="0" w:color="auto"/>
        <w:left w:val="none" w:sz="0" w:space="0" w:color="auto"/>
        <w:bottom w:val="none" w:sz="0" w:space="0" w:color="auto"/>
        <w:right w:val="none" w:sz="0" w:space="0" w:color="auto"/>
      </w:divBdr>
    </w:div>
    <w:div w:id="188106587">
      <w:bodyDiv w:val="1"/>
      <w:marLeft w:val="0"/>
      <w:marRight w:val="0"/>
      <w:marTop w:val="0"/>
      <w:marBottom w:val="0"/>
      <w:divBdr>
        <w:top w:val="none" w:sz="0" w:space="0" w:color="auto"/>
        <w:left w:val="none" w:sz="0" w:space="0" w:color="auto"/>
        <w:bottom w:val="none" w:sz="0" w:space="0" w:color="auto"/>
        <w:right w:val="none" w:sz="0" w:space="0" w:color="auto"/>
      </w:divBdr>
    </w:div>
    <w:div w:id="272395856">
      <w:bodyDiv w:val="1"/>
      <w:marLeft w:val="0"/>
      <w:marRight w:val="0"/>
      <w:marTop w:val="0"/>
      <w:marBottom w:val="0"/>
      <w:divBdr>
        <w:top w:val="none" w:sz="0" w:space="0" w:color="auto"/>
        <w:left w:val="none" w:sz="0" w:space="0" w:color="auto"/>
        <w:bottom w:val="none" w:sz="0" w:space="0" w:color="auto"/>
        <w:right w:val="none" w:sz="0" w:space="0" w:color="auto"/>
      </w:divBdr>
    </w:div>
    <w:div w:id="359553506">
      <w:bodyDiv w:val="1"/>
      <w:marLeft w:val="0"/>
      <w:marRight w:val="0"/>
      <w:marTop w:val="0"/>
      <w:marBottom w:val="0"/>
      <w:divBdr>
        <w:top w:val="none" w:sz="0" w:space="0" w:color="auto"/>
        <w:left w:val="none" w:sz="0" w:space="0" w:color="auto"/>
        <w:bottom w:val="none" w:sz="0" w:space="0" w:color="auto"/>
        <w:right w:val="none" w:sz="0" w:space="0" w:color="auto"/>
      </w:divBdr>
    </w:div>
    <w:div w:id="478183284">
      <w:bodyDiv w:val="1"/>
      <w:marLeft w:val="0"/>
      <w:marRight w:val="0"/>
      <w:marTop w:val="0"/>
      <w:marBottom w:val="0"/>
      <w:divBdr>
        <w:top w:val="none" w:sz="0" w:space="0" w:color="auto"/>
        <w:left w:val="none" w:sz="0" w:space="0" w:color="auto"/>
        <w:bottom w:val="none" w:sz="0" w:space="0" w:color="auto"/>
        <w:right w:val="none" w:sz="0" w:space="0" w:color="auto"/>
      </w:divBdr>
      <w:divsChild>
        <w:div w:id="442042666">
          <w:marLeft w:val="547"/>
          <w:marRight w:val="0"/>
          <w:marTop w:val="0"/>
          <w:marBottom w:val="0"/>
          <w:divBdr>
            <w:top w:val="none" w:sz="0" w:space="0" w:color="auto"/>
            <w:left w:val="none" w:sz="0" w:space="0" w:color="auto"/>
            <w:bottom w:val="none" w:sz="0" w:space="0" w:color="auto"/>
            <w:right w:val="none" w:sz="0" w:space="0" w:color="auto"/>
          </w:divBdr>
        </w:div>
        <w:div w:id="489059369">
          <w:marLeft w:val="547"/>
          <w:marRight w:val="0"/>
          <w:marTop w:val="0"/>
          <w:marBottom w:val="0"/>
          <w:divBdr>
            <w:top w:val="none" w:sz="0" w:space="0" w:color="auto"/>
            <w:left w:val="none" w:sz="0" w:space="0" w:color="auto"/>
            <w:bottom w:val="none" w:sz="0" w:space="0" w:color="auto"/>
            <w:right w:val="none" w:sz="0" w:space="0" w:color="auto"/>
          </w:divBdr>
        </w:div>
        <w:div w:id="1013069266">
          <w:marLeft w:val="547"/>
          <w:marRight w:val="0"/>
          <w:marTop w:val="0"/>
          <w:marBottom w:val="0"/>
          <w:divBdr>
            <w:top w:val="none" w:sz="0" w:space="0" w:color="auto"/>
            <w:left w:val="none" w:sz="0" w:space="0" w:color="auto"/>
            <w:bottom w:val="none" w:sz="0" w:space="0" w:color="auto"/>
            <w:right w:val="none" w:sz="0" w:space="0" w:color="auto"/>
          </w:divBdr>
        </w:div>
        <w:div w:id="1117867336">
          <w:marLeft w:val="547"/>
          <w:marRight w:val="0"/>
          <w:marTop w:val="0"/>
          <w:marBottom w:val="0"/>
          <w:divBdr>
            <w:top w:val="none" w:sz="0" w:space="0" w:color="auto"/>
            <w:left w:val="none" w:sz="0" w:space="0" w:color="auto"/>
            <w:bottom w:val="none" w:sz="0" w:space="0" w:color="auto"/>
            <w:right w:val="none" w:sz="0" w:space="0" w:color="auto"/>
          </w:divBdr>
        </w:div>
        <w:div w:id="1135950770">
          <w:marLeft w:val="547"/>
          <w:marRight w:val="0"/>
          <w:marTop w:val="0"/>
          <w:marBottom w:val="0"/>
          <w:divBdr>
            <w:top w:val="none" w:sz="0" w:space="0" w:color="auto"/>
            <w:left w:val="none" w:sz="0" w:space="0" w:color="auto"/>
            <w:bottom w:val="none" w:sz="0" w:space="0" w:color="auto"/>
            <w:right w:val="none" w:sz="0" w:space="0" w:color="auto"/>
          </w:divBdr>
        </w:div>
        <w:div w:id="2123181587">
          <w:marLeft w:val="547"/>
          <w:marRight w:val="0"/>
          <w:marTop w:val="0"/>
          <w:marBottom w:val="0"/>
          <w:divBdr>
            <w:top w:val="none" w:sz="0" w:space="0" w:color="auto"/>
            <w:left w:val="none" w:sz="0" w:space="0" w:color="auto"/>
            <w:bottom w:val="none" w:sz="0" w:space="0" w:color="auto"/>
            <w:right w:val="none" w:sz="0" w:space="0" w:color="auto"/>
          </w:divBdr>
        </w:div>
      </w:divsChild>
    </w:div>
    <w:div w:id="1195076728">
      <w:bodyDiv w:val="1"/>
      <w:marLeft w:val="0"/>
      <w:marRight w:val="0"/>
      <w:marTop w:val="0"/>
      <w:marBottom w:val="0"/>
      <w:divBdr>
        <w:top w:val="none" w:sz="0" w:space="0" w:color="auto"/>
        <w:left w:val="none" w:sz="0" w:space="0" w:color="auto"/>
        <w:bottom w:val="none" w:sz="0" w:space="0" w:color="auto"/>
        <w:right w:val="none" w:sz="0" w:space="0" w:color="auto"/>
      </w:divBdr>
    </w:div>
    <w:div w:id="1196623314">
      <w:bodyDiv w:val="1"/>
      <w:marLeft w:val="0"/>
      <w:marRight w:val="0"/>
      <w:marTop w:val="0"/>
      <w:marBottom w:val="0"/>
      <w:divBdr>
        <w:top w:val="none" w:sz="0" w:space="0" w:color="auto"/>
        <w:left w:val="none" w:sz="0" w:space="0" w:color="auto"/>
        <w:bottom w:val="none" w:sz="0" w:space="0" w:color="auto"/>
        <w:right w:val="none" w:sz="0" w:space="0" w:color="auto"/>
      </w:divBdr>
    </w:div>
    <w:div w:id="1229807266">
      <w:bodyDiv w:val="1"/>
      <w:marLeft w:val="0"/>
      <w:marRight w:val="0"/>
      <w:marTop w:val="0"/>
      <w:marBottom w:val="0"/>
      <w:divBdr>
        <w:top w:val="none" w:sz="0" w:space="0" w:color="auto"/>
        <w:left w:val="none" w:sz="0" w:space="0" w:color="auto"/>
        <w:bottom w:val="none" w:sz="0" w:space="0" w:color="auto"/>
        <w:right w:val="none" w:sz="0" w:space="0" w:color="auto"/>
      </w:divBdr>
    </w:div>
    <w:div w:id="1675569493">
      <w:bodyDiv w:val="1"/>
      <w:marLeft w:val="0"/>
      <w:marRight w:val="0"/>
      <w:marTop w:val="0"/>
      <w:marBottom w:val="0"/>
      <w:divBdr>
        <w:top w:val="none" w:sz="0" w:space="0" w:color="auto"/>
        <w:left w:val="none" w:sz="0" w:space="0" w:color="auto"/>
        <w:bottom w:val="none" w:sz="0" w:space="0" w:color="auto"/>
        <w:right w:val="none" w:sz="0" w:space="0" w:color="auto"/>
      </w:divBdr>
    </w:div>
    <w:div w:id="1923904545">
      <w:bodyDiv w:val="1"/>
      <w:marLeft w:val="0"/>
      <w:marRight w:val="0"/>
      <w:marTop w:val="0"/>
      <w:marBottom w:val="0"/>
      <w:divBdr>
        <w:top w:val="none" w:sz="0" w:space="0" w:color="auto"/>
        <w:left w:val="none" w:sz="0" w:space="0" w:color="auto"/>
        <w:bottom w:val="none" w:sz="0" w:space="0" w:color="auto"/>
        <w:right w:val="none" w:sz="0" w:space="0" w:color="auto"/>
      </w:divBdr>
    </w:div>
    <w:div w:id="203889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328</TotalTime>
  <Pages>4</Pages>
  <Words>840</Words>
  <Characters>4622</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BARDOT</dc:creator>
  <cp:keywords/>
  <dc:description/>
  <cp:lastModifiedBy>Benjamin BARDOT</cp:lastModifiedBy>
  <cp:revision>145</cp:revision>
  <dcterms:created xsi:type="dcterms:W3CDTF">2024-10-22T02:03:00Z</dcterms:created>
  <dcterms:modified xsi:type="dcterms:W3CDTF">2026-06-02T09:05:00Z</dcterms:modified>
</cp:coreProperties>
</file>